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05" w:rsidRDefault="00917E05">
      <w:pPr>
        <w:rPr>
          <w:rFonts w:ascii="Calibri" w:hAnsi="Calibri"/>
          <w:b/>
          <w:bCs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709C43E5" wp14:editId="35E59E94">
            <wp:extent cx="5736833" cy="621846"/>
            <wp:effectExtent l="0" t="0" r="0" b="6985"/>
            <wp:docPr id="1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6833" cy="62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E05" w:rsidRPr="00F8627E" w:rsidRDefault="00917E05" w:rsidP="00917E05">
      <w:pPr>
        <w:jc w:val="center"/>
        <w:rPr>
          <w:rFonts w:ascii="Calibri" w:hAnsi="Calibri"/>
          <w:b/>
          <w:bCs/>
          <w:sz w:val="26"/>
          <w:szCs w:val="26"/>
        </w:rPr>
      </w:pPr>
      <w:r w:rsidRPr="00F8627E">
        <w:rPr>
          <w:rFonts w:ascii="Calibri" w:hAnsi="Calibri"/>
          <w:b/>
          <w:bCs/>
          <w:sz w:val="26"/>
          <w:szCs w:val="26"/>
        </w:rPr>
        <w:t>Stowarzyszenie Lokalna Grupa Działania Dorzecza Zgłowiączki – główne założenia LSR na lata 2014-2020</w:t>
      </w:r>
    </w:p>
    <w:p w:rsidR="00917E05" w:rsidRPr="00F8627E" w:rsidRDefault="00917E05" w:rsidP="00917E05">
      <w:pPr>
        <w:jc w:val="center"/>
        <w:rPr>
          <w:rFonts w:ascii="Calibri" w:hAnsi="Calibri"/>
          <w:b/>
          <w:bCs/>
          <w:sz w:val="26"/>
          <w:szCs w:val="26"/>
        </w:rPr>
      </w:pPr>
      <w:r w:rsidRPr="00F8627E">
        <w:rPr>
          <w:rFonts w:ascii="Calibri" w:hAnsi="Calibri"/>
          <w:b/>
          <w:bCs/>
          <w:sz w:val="26"/>
          <w:szCs w:val="26"/>
        </w:rPr>
        <w:t xml:space="preserve">CEL OGÓLNY 3 - Rozwój turystyki i agroturystyki oraz </w:t>
      </w:r>
      <w:proofErr w:type="gramStart"/>
      <w:r w:rsidRPr="00F8627E">
        <w:rPr>
          <w:rFonts w:ascii="Calibri" w:hAnsi="Calibri"/>
          <w:b/>
          <w:bCs/>
          <w:sz w:val="26"/>
          <w:szCs w:val="26"/>
        </w:rPr>
        <w:t>podniesienie jakości</w:t>
      </w:r>
      <w:proofErr w:type="gramEnd"/>
      <w:r w:rsidRPr="00F8627E">
        <w:rPr>
          <w:rFonts w:ascii="Calibri" w:hAnsi="Calibri"/>
          <w:b/>
          <w:bCs/>
          <w:sz w:val="26"/>
          <w:szCs w:val="26"/>
        </w:rPr>
        <w:t xml:space="preserve"> życia mieszkańców w obszarze komunikacji, rekreacji i wypoczynku</w:t>
      </w:r>
    </w:p>
    <w:p w:rsidR="00917E05" w:rsidRPr="00392BD7" w:rsidRDefault="00917E05" w:rsidP="00917E05">
      <w:pPr>
        <w:pStyle w:val="Standard"/>
        <w:jc w:val="both"/>
        <w:rPr>
          <w:rFonts w:ascii="Calibri" w:hAnsi="Calibri"/>
          <w:lang w:val="pl-PL"/>
        </w:rPr>
      </w:pPr>
      <w:r w:rsidRPr="00392BD7">
        <w:rPr>
          <w:rFonts w:ascii="Calibri" w:hAnsi="Calibri"/>
          <w:lang w:val="pl-PL"/>
        </w:rPr>
        <w:t>Potrzeba realizacji celu wynikła ze zdiagnozowanych problemów i potrzeb dotyczących m.in. zbyt słabo rozwiniętej oferty kulturalnej, małego wsparcia na kultywowanie tradycji lokalnych, niskiego potencjału organizacyjno-finansowego większości organizacji społecznych z obszaru LSR.</w:t>
      </w:r>
    </w:p>
    <w:p w:rsidR="0085201D" w:rsidRPr="00392BD7" w:rsidRDefault="0085201D" w:rsidP="00917E05">
      <w:pPr>
        <w:pStyle w:val="Standard"/>
        <w:jc w:val="both"/>
        <w:rPr>
          <w:rFonts w:ascii="Calibri" w:hAnsi="Calibri"/>
          <w:lang w:val="pl-PL"/>
        </w:rPr>
      </w:pPr>
    </w:p>
    <w:p w:rsidR="00917E05" w:rsidRPr="00392BD7" w:rsidRDefault="00917E05" w:rsidP="00917E05">
      <w:pPr>
        <w:pStyle w:val="Standard"/>
        <w:jc w:val="both"/>
        <w:rPr>
          <w:rFonts w:ascii="Calibri" w:hAnsi="Calibri"/>
          <w:bCs/>
          <w:lang w:val="pl-PL"/>
        </w:rPr>
      </w:pPr>
      <w:r w:rsidRPr="00392BD7">
        <w:rPr>
          <w:rFonts w:ascii="Calibri" w:hAnsi="Calibri"/>
          <w:bCs/>
          <w:lang w:val="pl-PL"/>
        </w:rPr>
        <w:t>W ramach celu ogólnego 3 realizowane jest:</w:t>
      </w:r>
    </w:p>
    <w:p w:rsidR="00917E05" w:rsidRPr="00392BD7" w:rsidRDefault="00917E05" w:rsidP="00917E05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bCs/>
          <w:lang w:val="pl-PL"/>
        </w:rPr>
      </w:pPr>
      <w:r w:rsidRPr="00392BD7">
        <w:rPr>
          <w:rFonts w:ascii="Calibri" w:hAnsi="Calibri"/>
          <w:b/>
          <w:bCs/>
          <w:lang w:val="pl-PL"/>
        </w:rPr>
        <w:t>Przedsięwzięcie 3.1 – Program rewitalizacji infrastruktury turystycznej wraz z rozbudową i modernizacją bazy rekreacyjnej i kulturalnej na terenie LGD</w:t>
      </w:r>
    </w:p>
    <w:p w:rsidR="00917E05" w:rsidRPr="00392BD7" w:rsidRDefault="00917E05" w:rsidP="00917E05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bCs/>
          <w:lang w:val="pl-PL"/>
        </w:rPr>
      </w:pPr>
      <w:r w:rsidRPr="00392BD7">
        <w:rPr>
          <w:rFonts w:ascii="Calibri" w:hAnsi="Calibri"/>
          <w:b/>
          <w:bCs/>
          <w:lang w:val="pl-PL"/>
        </w:rPr>
        <w:t>Przedsięwzięcie 3.2 – Budowa i przebudowa dróg lokalnych gwarantujących spójność terytorialną w zakresie włączenia społecznego</w:t>
      </w:r>
    </w:p>
    <w:p w:rsidR="00917E05" w:rsidRPr="00392BD7" w:rsidRDefault="00917E05" w:rsidP="00917E05">
      <w:pPr>
        <w:pStyle w:val="Standard"/>
        <w:jc w:val="both"/>
        <w:rPr>
          <w:rFonts w:ascii="Calibri" w:hAnsi="Calibri"/>
          <w:b/>
          <w:bCs/>
          <w:lang w:val="pl-PL"/>
        </w:rPr>
      </w:pPr>
    </w:p>
    <w:p w:rsidR="00917E05" w:rsidRPr="00392BD7" w:rsidRDefault="00917E05" w:rsidP="00917E05">
      <w:pPr>
        <w:pStyle w:val="Standard"/>
        <w:jc w:val="both"/>
        <w:rPr>
          <w:rFonts w:ascii="Calibri" w:hAnsi="Calibri"/>
          <w:lang w:val="pl-PL"/>
        </w:rPr>
      </w:pPr>
      <w:r w:rsidRPr="00392BD7">
        <w:rPr>
          <w:rFonts w:ascii="Calibri" w:hAnsi="Calibri"/>
          <w:lang w:val="pl-PL"/>
        </w:rPr>
        <w:t xml:space="preserve">Źródłem finansowania przedsięwzięć 3.1 </w:t>
      </w:r>
      <w:proofErr w:type="gramStart"/>
      <w:r w:rsidRPr="00392BD7">
        <w:rPr>
          <w:rFonts w:ascii="Calibri" w:hAnsi="Calibri"/>
          <w:lang w:val="pl-PL"/>
        </w:rPr>
        <w:t>i</w:t>
      </w:r>
      <w:proofErr w:type="gramEnd"/>
      <w:r w:rsidRPr="00392BD7">
        <w:rPr>
          <w:rFonts w:ascii="Calibri" w:hAnsi="Calibri"/>
          <w:lang w:val="pl-PL"/>
        </w:rPr>
        <w:t xml:space="preserve"> 3.2 </w:t>
      </w:r>
      <w:proofErr w:type="gramStart"/>
      <w:r w:rsidRPr="00392BD7">
        <w:rPr>
          <w:rFonts w:ascii="Calibri" w:hAnsi="Calibri"/>
          <w:lang w:val="pl-PL"/>
        </w:rPr>
        <w:t>jest</w:t>
      </w:r>
      <w:proofErr w:type="gramEnd"/>
      <w:r w:rsidRPr="00392BD7">
        <w:rPr>
          <w:rFonts w:ascii="Calibri" w:hAnsi="Calibri"/>
          <w:lang w:val="pl-PL"/>
        </w:rPr>
        <w:t xml:space="preserve"> Program Rozwoju Obszarów Wiejskich na lata 2014-2020 (PROW 2014-2020) – działanie LEADER.</w:t>
      </w:r>
    </w:p>
    <w:p w:rsidR="00917E05" w:rsidRPr="00392BD7" w:rsidRDefault="00917E05" w:rsidP="00917E05">
      <w:pPr>
        <w:pStyle w:val="Standard"/>
        <w:jc w:val="both"/>
        <w:rPr>
          <w:rFonts w:ascii="Calibri" w:hAnsi="Calibri"/>
          <w:lang w:val="pl-PL"/>
        </w:rPr>
      </w:pPr>
    </w:p>
    <w:p w:rsidR="00917E05" w:rsidRPr="00392BD7" w:rsidRDefault="00917E05" w:rsidP="00917E05">
      <w:pPr>
        <w:pStyle w:val="Standard"/>
        <w:jc w:val="both"/>
        <w:rPr>
          <w:rFonts w:ascii="Calibri" w:hAnsi="Calibri"/>
          <w:lang w:val="pl-PL"/>
        </w:rPr>
      </w:pPr>
      <w:r w:rsidRPr="00392BD7">
        <w:rPr>
          <w:rFonts w:ascii="Calibri" w:hAnsi="Calibri"/>
          <w:lang w:val="pl-PL"/>
        </w:rPr>
        <w:t>Cel ogólny 3 jest realizowany poprzez następujące typy operacji:</w:t>
      </w:r>
    </w:p>
    <w:p w:rsidR="00917E05" w:rsidRPr="00392BD7" w:rsidRDefault="00917E05" w:rsidP="00917E05">
      <w:pPr>
        <w:pStyle w:val="Standard"/>
        <w:numPr>
          <w:ilvl w:val="0"/>
          <w:numId w:val="2"/>
        </w:numPr>
        <w:jc w:val="both"/>
        <w:rPr>
          <w:rFonts w:ascii="Calibri" w:hAnsi="Calibri"/>
          <w:lang w:val="pl-PL"/>
        </w:rPr>
      </w:pPr>
      <w:proofErr w:type="gramStart"/>
      <w:r w:rsidRPr="00392BD7">
        <w:rPr>
          <w:rFonts w:ascii="Calibri" w:hAnsi="Calibri"/>
          <w:lang w:val="pl-PL"/>
        </w:rPr>
        <w:t>zachowanie</w:t>
      </w:r>
      <w:proofErr w:type="gramEnd"/>
      <w:r w:rsidRPr="00392BD7">
        <w:rPr>
          <w:rFonts w:ascii="Calibri" w:hAnsi="Calibri"/>
          <w:lang w:val="pl-PL"/>
        </w:rPr>
        <w:t xml:space="preserve"> dziedzictwa lokalnego,</w:t>
      </w:r>
    </w:p>
    <w:p w:rsidR="00917E05" w:rsidRPr="00392BD7" w:rsidRDefault="00917E05" w:rsidP="00917E05">
      <w:pPr>
        <w:pStyle w:val="Standard"/>
        <w:numPr>
          <w:ilvl w:val="0"/>
          <w:numId w:val="2"/>
        </w:numPr>
        <w:jc w:val="both"/>
        <w:rPr>
          <w:rFonts w:ascii="Calibri" w:hAnsi="Calibri"/>
          <w:lang w:val="pl-PL"/>
        </w:rPr>
      </w:pPr>
      <w:proofErr w:type="gramStart"/>
      <w:r w:rsidRPr="00392BD7">
        <w:rPr>
          <w:rFonts w:ascii="Calibri" w:hAnsi="Calibri"/>
          <w:lang w:val="pl-PL"/>
        </w:rPr>
        <w:t>rozwój</w:t>
      </w:r>
      <w:proofErr w:type="gramEnd"/>
      <w:r w:rsidRPr="00392BD7">
        <w:rPr>
          <w:rFonts w:ascii="Calibri" w:hAnsi="Calibri"/>
          <w:lang w:val="pl-PL"/>
        </w:rPr>
        <w:t xml:space="preserve"> ogólnodostępnej i niekomercyjnej infrastruktury turystycznej lub rekreacyjnej lub kulturalnej,</w:t>
      </w:r>
    </w:p>
    <w:p w:rsidR="00917E05" w:rsidRPr="00392BD7" w:rsidRDefault="00917E05" w:rsidP="00917E05">
      <w:pPr>
        <w:pStyle w:val="Standard"/>
        <w:numPr>
          <w:ilvl w:val="0"/>
          <w:numId w:val="2"/>
        </w:numPr>
        <w:jc w:val="both"/>
        <w:rPr>
          <w:rFonts w:ascii="Calibri" w:hAnsi="Calibri"/>
          <w:lang w:val="pl-PL"/>
        </w:rPr>
      </w:pPr>
      <w:proofErr w:type="gramStart"/>
      <w:r w:rsidRPr="00392BD7">
        <w:rPr>
          <w:rFonts w:ascii="Calibri" w:hAnsi="Calibri"/>
          <w:lang w:val="pl-PL"/>
        </w:rPr>
        <w:t>budowa</w:t>
      </w:r>
      <w:proofErr w:type="gramEnd"/>
      <w:r w:rsidRPr="00392BD7">
        <w:rPr>
          <w:rFonts w:ascii="Calibri" w:hAnsi="Calibri"/>
          <w:lang w:val="pl-PL"/>
        </w:rPr>
        <w:t xml:space="preserve"> lub przebudowa publicznych dróg gminnych lub powiatowych.</w:t>
      </w:r>
    </w:p>
    <w:p w:rsidR="00917E05" w:rsidRPr="00392BD7" w:rsidRDefault="00917E05" w:rsidP="00917E05">
      <w:pPr>
        <w:pStyle w:val="Standard"/>
        <w:jc w:val="both"/>
        <w:rPr>
          <w:rFonts w:ascii="Calibri" w:hAnsi="Calibri"/>
          <w:lang w:val="pl-PL"/>
        </w:rPr>
      </w:pPr>
    </w:p>
    <w:p w:rsidR="00917E05" w:rsidRPr="00392BD7" w:rsidRDefault="00917E05" w:rsidP="00917E05">
      <w:pPr>
        <w:pStyle w:val="Standard"/>
        <w:jc w:val="both"/>
        <w:rPr>
          <w:rFonts w:asciiTheme="minorHAnsi" w:hAnsiTheme="minorHAnsi"/>
          <w:b/>
          <w:bCs/>
          <w:i/>
          <w:sz w:val="26"/>
          <w:szCs w:val="26"/>
          <w:lang w:val="pl-PL"/>
        </w:rPr>
      </w:pPr>
      <w:r w:rsidRPr="00392BD7">
        <w:rPr>
          <w:rFonts w:ascii="Calibri" w:hAnsi="Calibri"/>
          <w:b/>
          <w:lang w:val="pl-PL"/>
        </w:rPr>
        <w:t xml:space="preserve">Stowarzyszenie LGD Dorzecza Zgłowiączki w ramach realizowanej LSR i jej celu ogólnego 3 </w:t>
      </w:r>
      <w:r w:rsidRPr="00392BD7">
        <w:rPr>
          <w:rFonts w:ascii="Calibri" w:hAnsi="Calibri"/>
          <w:i/>
          <w:lang w:val="pl-PL"/>
        </w:rPr>
        <w:t>Rozwój turystyki</w:t>
      </w:r>
      <w:r w:rsidR="00813260" w:rsidRPr="00392BD7">
        <w:rPr>
          <w:rFonts w:ascii="Calibri" w:hAnsi="Calibri"/>
          <w:bCs/>
          <w:i/>
          <w:lang w:val="pl-PL"/>
        </w:rPr>
        <w:t xml:space="preserve"> i agroturystyki oraz </w:t>
      </w:r>
      <w:proofErr w:type="gramStart"/>
      <w:r w:rsidR="00813260" w:rsidRPr="00392BD7">
        <w:rPr>
          <w:rFonts w:ascii="Calibri" w:hAnsi="Calibri"/>
          <w:bCs/>
          <w:i/>
          <w:lang w:val="pl-PL"/>
        </w:rPr>
        <w:t>podniesienie jakości</w:t>
      </w:r>
      <w:proofErr w:type="gramEnd"/>
      <w:r w:rsidR="00813260" w:rsidRPr="00392BD7">
        <w:rPr>
          <w:rFonts w:ascii="Calibri" w:hAnsi="Calibri"/>
          <w:bCs/>
          <w:i/>
          <w:lang w:val="pl-PL"/>
        </w:rPr>
        <w:t xml:space="preserve"> życia mieszkańców w obszarze komunikacji, rekreacji i wypoczynku </w:t>
      </w:r>
      <w:r w:rsidR="00813260" w:rsidRPr="00392BD7">
        <w:rPr>
          <w:rFonts w:ascii="Calibri" w:hAnsi="Calibri"/>
          <w:bCs/>
          <w:lang w:val="pl-PL"/>
        </w:rPr>
        <w:t xml:space="preserve">dnia 12 kwietnia 2022 </w:t>
      </w:r>
      <w:r w:rsidR="00813260" w:rsidRPr="00392BD7">
        <w:rPr>
          <w:rFonts w:ascii="Calibri" w:hAnsi="Calibri"/>
          <w:b/>
          <w:bCs/>
          <w:lang w:val="pl-PL"/>
        </w:rPr>
        <w:t xml:space="preserve">ogłosiła </w:t>
      </w:r>
      <w:r w:rsidR="00813260" w:rsidRPr="00392BD7">
        <w:rPr>
          <w:rFonts w:asciiTheme="minorHAnsi" w:hAnsiTheme="minorHAnsi"/>
          <w:b/>
          <w:bCs/>
          <w:lang w:val="pl-PL"/>
        </w:rPr>
        <w:t xml:space="preserve">konkurs na </w:t>
      </w:r>
      <w:r w:rsidR="00813260" w:rsidRPr="00392BD7">
        <w:rPr>
          <w:rStyle w:val="Pogrubienie"/>
          <w:rFonts w:asciiTheme="minorHAnsi" w:hAnsiTheme="minorHAnsi" w:cs="Arial"/>
          <w:shd w:val="clear" w:color="auto" w:fill="FFFFFF"/>
          <w:lang w:val="pl-PL"/>
        </w:rPr>
        <w:t xml:space="preserve">rozwój ogólnodostępnej i niekomercyjnej infrastruktury  turystycznej  lub rekreacyjnej lub kulturalnej </w:t>
      </w:r>
      <w:r w:rsidR="00813260" w:rsidRPr="00392BD7">
        <w:rPr>
          <w:rStyle w:val="Pogrubienie"/>
          <w:rFonts w:asciiTheme="minorHAnsi" w:hAnsiTheme="minorHAnsi" w:cs="Arial"/>
          <w:b w:val="0"/>
          <w:shd w:val="clear" w:color="auto" w:fill="FFFFFF"/>
          <w:lang w:val="pl-PL"/>
        </w:rPr>
        <w:t>w ramach Programu Rozwoju Obszarów Wiejskich na lata 2014-2020 – inicjatywy LEADER.</w:t>
      </w:r>
      <w:r w:rsidR="00813260" w:rsidRPr="00392BD7">
        <w:rPr>
          <w:rFonts w:asciiTheme="minorHAnsi" w:hAnsiTheme="minorHAnsi"/>
          <w:b/>
          <w:bCs/>
          <w:i/>
          <w:sz w:val="26"/>
          <w:szCs w:val="26"/>
          <w:lang w:val="pl-PL"/>
        </w:rPr>
        <w:t xml:space="preserve"> </w:t>
      </w:r>
    </w:p>
    <w:p w:rsidR="0085201D" w:rsidRPr="00392BD7" w:rsidRDefault="0085201D" w:rsidP="00813260">
      <w:pPr>
        <w:pStyle w:val="Standard"/>
        <w:jc w:val="center"/>
        <w:rPr>
          <w:rStyle w:val="Pogrubienie"/>
          <w:rFonts w:asciiTheme="minorHAnsi" w:hAnsiTheme="minorHAnsi" w:cs="Arial"/>
          <w:u w:val="single"/>
          <w:shd w:val="clear" w:color="auto" w:fill="FFFFFF"/>
          <w:lang w:val="pl-PL"/>
        </w:rPr>
      </w:pPr>
    </w:p>
    <w:p w:rsidR="00813260" w:rsidRPr="00392BD7" w:rsidRDefault="00813260" w:rsidP="00813260">
      <w:pPr>
        <w:pStyle w:val="Standard"/>
        <w:jc w:val="center"/>
        <w:rPr>
          <w:rStyle w:val="Pogrubienie"/>
          <w:rFonts w:asciiTheme="minorHAnsi" w:hAnsiTheme="minorHAnsi" w:cs="Arial"/>
          <w:u w:val="single"/>
          <w:shd w:val="clear" w:color="auto" w:fill="FFFFFF"/>
          <w:lang w:val="pl-PL"/>
        </w:rPr>
      </w:pPr>
      <w:r w:rsidRPr="00392BD7">
        <w:rPr>
          <w:rStyle w:val="Pogrubienie"/>
          <w:rFonts w:asciiTheme="minorHAnsi" w:hAnsiTheme="minorHAnsi" w:cs="Arial"/>
          <w:u w:val="single"/>
          <w:shd w:val="clear" w:color="auto" w:fill="FFFFFF"/>
          <w:lang w:val="pl-PL"/>
        </w:rPr>
        <w:t>Termin składania wniosków: od dnia 9 maja 2022r. do dnia 30 maja 2022r.</w:t>
      </w:r>
    </w:p>
    <w:p w:rsidR="0085201D" w:rsidRPr="00392BD7" w:rsidRDefault="0085201D" w:rsidP="00813260">
      <w:pPr>
        <w:pStyle w:val="Standard"/>
        <w:jc w:val="center"/>
        <w:rPr>
          <w:rFonts w:asciiTheme="minorHAnsi" w:hAnsiTheme="minorHAnsi"/>
          <w:lang w:val="pl-PL"/>
        </w:rPr>
      </w:pPr>
    </w:p>
    <w:p w:rsidR="0085201D" w:rsidRPr="00392BD7" w:rsidRDefault="0085201D" w:rsidP="0085201D">
      <w:pPr>
        <w:pStyle w:val="Standard"/>
        <w:jc w:val="both"/>
        <w:rPr>
          <w:rFonts w:ascii="Calibri" w:hAnsi="Calibri"/>
          <w:b/>
          <w:bCs/>
          <w:lang w:val="pl-PL"/>
        </w:rPr>
      </w:pPr>
      <w:r w:rsidRPr="00392BD7">
        <w:rPr>
          <w:rFonts w:ascii="Calibri" w:hAnsi="Calibri"/>
          <w:b/>
          <w:bCs/>
          <w:lang w:val="pl-PL"/>
        </w:rPr>
        <w:t>Podmioty uprawnione do złożenia wniosku</w:t>
      </w:r>
    </w:p>
    <w:p w:rsidR="0085201D" w:rsidRPr="00392BD7" w:rsidRDefault="0085201D" w:rsidP="0085201D">
      <w:pPr>
        <w:pStyle w:val="Standard"/>
        <w:jc w:val="both"/>
        <w:rPr>
          <w:rFonts w:ascii="Calibri" w:hAnsi="Calibri"/>
          <w:bCs/>
          <w:lang w:val="pl-PL"/>
        </w:rPr>
      </w:pPr>
      <w:r w:rsidRPr="00392BD7">
        <w:rPr>
          <w:rFonts w:ascii="Calibri" w:hAnsi="Calibri"/>
          <w:bCs/>
          <w:lang w:val="pl-PL"/>
        </w:rPr>
        <w:t xml:space="preserve">Osoby fizyczne, osoby prawne, w tym m.in. kółka rolnicze, JST z wyłączeniem województw, ich związki bądź ich jednostki organizacyjne, organizacje pozarządowe, spółdzielnie, kościoły, związki wyznaniowe, jednostki organizacyjne nieposiadające osobowości prawnej, którym ustawy przyznają zdolność prawną. Podmioty te muszą posiadać miejsce </w:t>
      </w:r>
      <w:proofErr w:type="gramStart"/>
      <w:r w:rsidRPr="00392BD7">
        <w:rPr>
          <w:rFonts w:ascii="Calibri" w:hAnsi="Calibri"/>
          <w:bCs/>
          <w:lang w:val="pl-PL"/>
        </w:rPr>
        <w:t>zamieszkania (jeśli</w:t>
      </w:r>
      <w:proofErr w:type="gramEnd"/>
      <w:r w:rsidRPr="00392BD7">
        <w:rPr>
          <w:rFonts w:ascii="Calibri" w:hAnsi="Calibri"/>
          <w:bCs/>
          <w:lang w:val="pl-PL"/>
        </w:rPr>
        <w:t xml:space="preserve"> dotyczy) na obszarze LGD lub siedziba podmiotu (oddziału) tej jednostki musi być na obszarze objętym LSR.</w:t>
      </w:r>
    </w:p>
    <w:p w:rsidR="0085201D" w:rsidRPr="00392BD7" w:rsidRDefault="0085201D" w:rsidP="0085201D">
      <w:pPr>
        <w:pStyle w:val="Standard"/>
        <w:jc w:val="both"/>
        <w:rPr>
          <w:rFonts w:ascii="Calibri" w:hAnsi="Calibri"/>
          <w:bCs/>
          <w:lang w:val="pl-PL"/>
        </w:rPr>
      </w:pPr>
    </w:p>
    <w:p w:rsidR="0085201D" w:rsidRPr="00392BD7" w:rsidRDefault="0085201D" w:rsidP="0085201D">
      <w:pPr>
        <w:pStyle w:val="Standard"/>
        <w:jc w:val="both"/>
        <w:rPr>
          <w:rFonts w:ascii="Calibri" w:hAnsi="Calibri"/>
          <w:bCs/>
          <w:lang w:val="pl-PL"/>
        </w:rPr>
      </w:pPr>
    </w:p>
    <w:p w:rsidR="0085201D" w:rsidRPr="00392BD7" w:rsidRDefault="0085201D" w:rsidP="0085201D">
      <w:pPr>
        <w:pStyle w:val="Standard"/>
        <w:jc w:val="both"/>
        <w:rPr>
          <w:rFonts w:ascii="Calibri" w:hAnsi="Calibri"/>
          <w:bCs/>
          <w:lang w:val="pl-PL"/>
        </w:rPr>
      </w:pPr>
    </w:p>
    <w:p w:rsidR="0085201D" w:rsidRPr="00392BD7" w:rsidRDefault="00997E64" w:rsidP="00997E64">
      <w:pPr>
        <w:pStyle w:val="Standard"/>
        <w:jc w:val="both"/>
        <w:rPr>
          <w:rFonts w:ascii="Calibri" w:hAnsi="Calibri"/>
          <w:b/>
          <w:bCs/>
          <w:lang w:val="pl-PL"/>
        </w:rPr>
      </w:pPr>
      <w:r w:rsidRPr="00392BD7">
        <w:rPr>
          <w:rFonts w:ascii="Calibri" w:hAnsi="Calibri"/>
          <w:b/>
          <w:bCs/>
          <w:lang w:val="pl-PL"/>
        </w:rPr>
        <w:t>Wysokość pomocy:</w:t>
      </w:r>
    </w:p>
    <w:p w:rsidR="0085201D" w:rsidRPr="00392BD7" w:rsidRDefault="0085201D" w:rsidP="00997E6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</w:rPr>
      </w:pPr>
      <w:r w:rsidRPr="00392BD7">
        <w:rPr>
          <w:rFonts w:asciiTheme="minorHAnsi" w:hAnsiTheme="minorHAnsi" w:cs="Arial"/>
          <w:b/>
        </w:rPr>
        <w:t>1) określonej w LSR, lecz</w:t>
      </w:r>
      <w:r w:rsidRPr="00392BD7">
        <w:rPr>
          <w:rFonts w:asciiTheme="minorHAnsi" w:hAnsiTheme="minorHAnsi" w:cs="Arial"/>
        </w:rPr>
        <w:t xml:space="preserve"> </w:t>
      </w:r>
      <w:r w:rsidRPr="00392BD7">
        <w:rPr>
          <w:rFonts w:asciiTheme="minorHAnsi" w:hAnsiTheme="minorHAnsi" w:cs="Arial"/>
          <w:b/>
        </w:rPr>
        <w:t>nie wyższej niż:</w:t>
      </w:r>
    </w:p>
    <w:p w:rsidR="0085201D" w:rsidRPr="00392BD7" w:rsidRDefault="0085201D" w:rsidP="00997E6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392BD7">
        <w:rPr>
          <w:rFonts w:asciiTheme="minorHAnsi" w:hAnsiTheme="minorHAnsi" w:cs="Arial"/>
          <w:b/>
        </w:rPr>
        <w:t>a) 70% kosztów kwalifikowalnych</w:t>
      </w:r>
      <w:r w:rsidRPr="00392BD7">
        <w:rPr>
          <w:rFonts w:asciiTheme="minorHAnsi" w:hAnsiTheme="minorHAnsi" w:cs="Arial"/>
        </w:rPr>
        <w:t xml:space="preserve"> - w przypadku podmiotu wykonującego działalność gospodarczą, do której stosuje się przepisy ustawy z dnia 6 marca 2018 r. - Prawo przedsiębiorców, z </w:t>
      </w:r>
      <w:proofErr w:type="gramStart"/>
      <w:r w:rsidRPr="00392BD7">
        <w:rPr>
          <w:rFonts w:asciiTheme="minorHAnsi" w:hAnsiTheme="minorHAnsi" w:cs="Arial"/>
        </w:rPr>
        <w:t>tym że</w:t>
      </w:r>
      <w:proofErr w:type="gramEnd"/>
      <w:r w:rsidRPr="00392BD7">
        <w:rPr>
          <w:rFonts w:asciiTheme="minorHAnsi" w:hAnsiTheme="minorHAnsi" w:cs="Arial"/>
        </w:rPr>
        <w:t xml:space="preserve"> w przypadku organizacji pozarządowej, która wykonuje taką działalność gospodarczą - jeśli organizacja ta ubiega się o pomoc w zakresie określonym w § 2 ust. 1 pkt 2 lit. b i c oraz pkt 3,</w:t>
      </w:r>
    </w:p>
    <w:p w:rsidR="0085201D" w:rsidRPr="00392BD7" w:rsidRDefault="0085201D" w:rsidP="00997E6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proofErr w:type="gramStart"/>
      <w:r w:rsidRPr="00392BD7">
        <w:rPr>
          <w:rFonts w:asciiTheme="minorHAnsi" w:hAnsiTheme="minorHAnsi" w:cs="Arial"/>
          <w:b/>
        </w:rPr>
        <w:t>b</w:t>
      </w:r>
      <w:proofErr w:type="gramEnd"/>
      <w:r w:rsidRPr="00392BD7">
        <w:rPr>
          <w:rFonts w:asciiTheme="minorHAnsi" w:hAnsiTheme="minorHAnsi" w:cs="Arial"/>
          <w:b/>
        </w:rPr>
        <w:t>) 100% kosztów kwalifikowalnych</w:t>
      </w:r>
      <w:r w:rsidRPr="00392BD7">
        <w:rPr>
          <w:rFonts w:asciiTheme="minorHAnsi" w:hAnsiTheme="minorHAnsi" w:cs="Arial"/>
        </w:rPr>
        <w:t xml:space="preserve"> - w przypadku:</w:t>
      </w:r>
    </w:p>
    <w:p w:rsidR="0085201D" w:rsidRPr="00392BD7" w:rsidRDefault="0085201D" w:rsidP="00997E6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392BD7">
        <w:rPr>
          <w:rFonts w:asciiTheme="minorHAnsi" w:hAnsiTheme="minorHAnsi" w:cs="Arial"/>
        </w:rPr>
        <w:t>– podmiotu niewykonującego działalności gospodarczej, do której stosuje się przepisy ustawy z dnia 6 marca 2018 r. - Prawo przedsiębiorców,</w:t>
      </w:r>
    </w:p>
    <w:p w:rsidR="0085201D" w:rsidRPr="00392BD7" w:rsidRDefault="0085201D" w:rsidP="00997E6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392BD7">
        <w:rPr>
          <w:rFonts w:asciiTheme="minorHAnsi" w:hAnsiTheme="minorHAnsi" w:cs="Arial"/>
        </w:rPr>
        <w:t>– organizacji pozarządowej, która wykonuje działalność gospodarczą, do której stosuje się przepisy ustawy z dnia 6 marca 2018 r. - Prawo przedsiębiorców - jeśli organizacja ta ubiega się o pomoc w zakresie określonym w § 2 ust. 1 pkt 1 oraz 4-8;</w:t>
      </w:r>
    </w:p>
    <w:p w:rsidR="0085201D" w:rsidRPr="00392BD7" w:rsidRDefault="0085201D" w:rsidP="00997E6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392BD7">
        <w:rPr>
          <w:rFonts w:asciiTheme="minorHAnsi" w:hAnsiTheme="minorHAnsi" w:cs="Arial"/>
          <w:b/>
        </w:rPr>
        <w:t>2) nie wyższej niż 63,63% kosztów kwalifikowalnych</w:t>
      </w:r>
      <w:r w:rsidRPr="00392BD7">
        <w:rPr>
          <w:rFonts w:asciiTheme="minorHAnsi" w:hAnsiTheme="minorHAnsi" w:cs="Arial"/>
        </w:rPr>
        <w:t xml:space="preserve"> - w przypadku jednostki sektora finansów publicznych.</w:t>
      </w:r>
    </w:p>
    <w:p w:rsidR="0085201D" w:rsidRPr="00392BD7" w:rsidRDefault="0085201D" w:rsidP="0085201D">
      <w:pPr>
        <w:pStyle w:val="Standard"/>
        <w:jc w:val="both"/>
        <w:rPr>
          <w:rFonts w:asciiTheme="minorHAnsi" w:hAnsiTheme="minorHAnsi"/>
          <w:b/>
          <w:bCs/>
          <w:lang w:val="pl-PL"/>
        </w:rPr>
      </w:pPr>
    </w:p>
    <w:p w:rsidR="00997E64" w:rsidRPr="00392BD7" w:rsidRDefault="00997E64" w:rsidP="00997E64">
      <w:pPr>
        <w:pStyle w:val="Standard"/>
        <w:jc w:val="both"/>
        <w:rPr>
          <w:rFonts w:ascii="Calibri" w:hAnsi="Calibri"/>
          <w:bCs/>
          <w:lang w:val="pl-PL"/>
        </w:rPr>
      </w:pPr>
      <w:r w:rsidRPr="00392BD7">
        <w:rPr>
          <w:rFonts w:ascii="Calibri" w:hAnsi="Calibri"/>
          <w:bCs/>
          <w:lang w:val="pl-PL"/>
        </w:rPr>
        <w:t xml:space="preserve">Pomoc jest przyznawana do wysokości limitu, który wynosi 300 000,00 zł na jednego beneficjenta w okresie realizacji LSR. </w:t>
      </w:r>
    </w:p>
    <w:p w:rsidR="00997E64" w:rsidRPr="00392BD7" w:rsidRDefault="00997E64" w:rsidP="00997E64">
      <w:pPr>
        <w:pStyle w:val="Standard"/>
        <w:jc w:val="both"/>
        <w:rPr>
          <w:rFonts w:ascii="Calibri" w:hAnsi="Calibri"/>
          <w:b/>
          <w:bCs/>
          <w:lang w:val="pl-PL"/>
        </w:rPr>
      </w:pPr>
      <w:r w:rsidRPr="00392BD7">
        <w:rPr>
          <w:rFonts w:ascii="Calibri" w:hAnsi="Calibri"/>
          <w:bCs/>
          <w:lang w:val="pl-PL"/>
        </w:rPr>
        <w:t xml:space="preserve">Limitu tego nie stosuje się do podmiotów będących jednostką sektora finansów publicznych. </w:t>
      </w:r>
      <w:r w:rsidRPr="00392BD7">
        <w:rPr>
          <w:rFonts w:ascii="Calibri" w:hAnsi="Calibri"/>
          <w:b/>
          <w:bCs/>
          <w:lang w:val="pl-PL"/>
        </w:rPr>
        <w:t>Pomoc jest przyznawana, jeśli służy zaspokajaniu potrzeb społeczności lokalnej.</w:t>
      </w:r>
    </w:p>
    <w:p w:rsidR="00997E64" w:rsidRPr="00392BD7" w:rsidRDefault="00997E64" w:rsidP="00997E64">
      <w:pPr>
        <w:pStyle w:val="Standard"/>
        <w:jc w:val="both"/>
        <w:rPr>
          <w:rFonts w:ascii="Calibri" w:hAnsi="Calibri"/>
          <w:bCs/>
          <w:lang w:val="pl-PL"/>
        </w:rPr>
      </w:pPr>
    </w:p>
    <w:p w:rsidR="00997E64" w:rsidRPr="00392BD7" w:rsidRDefault="00997E64" w:rsidP="00997E64">
      <w:pPr>
        <w:pStyle w:val="Standard"/>
        <w:jc w:val="both"/>
        <w:rPr>
          <w:rFonts w:ascii="Calibri" w:hAnsi="Calibri"/>
          <w:b/>
          <w:bCs/>
          <w:lang w:val="pl-PL"/>
        </w:rPr>
      </w:pPr>
      <w:r w:rsidRPr="00392BD7">
        <w:rPr>
          <w:rFonts w:ascii="Calibri" w:hAnsi="Calibri"/>
          <w:b/>
          <w:bCs/>
          <w:lang w:val="pl-PL"/>
        </w:rPr>
        <w:t>MINIMALNA ILOŚĆ PUNKTÓW, BY MÓC UZYSKAĆ WSPARCIE – 25 PKT</w:t>
      </w:r>
    </w:p>
    <w:p w:rsidR="00487021" w:rsidRPr="00392BD7" w:rsidRDefault="00487021" w:rsidP="00997E64">
      <w:pPr>
        <w:pStyle w:val="Standard"/>
        <w:jc w:val="both"/>
        <w:rPr>
          <w:rFonts w:ascii="Calibri" w:hAnsi="Calibri"/>
          <w:b/>
          <w:bCs/>
          <w:lang w:val="pl-PL"/>
        </w:rPr>
      </w:pPr>
    </w:p>
    <w:p w:rsidR="00487021" w:rsidRPr="00392BD7" w:rsidRDefault="00487021" w:rsidP="004870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392BD7">
        <w:rPr>
          <w:rFonts w:asciiTheme="minorHAnsi" w:hAnsiTheme="minorHAnsi" w:cs="Arial"/>
        </w:rPr>
        <w:t>Pytania należy kierować na adres email</w:t>
      </w:r>
      <w:proofErr w:type="gramStart"/>
      <w:r w:rsidRPr="00392BD7">
        <w:rPr>
          <w:rFonts w:asciiTheme="minorHAnsi" w:hAnsiTheme="minorHAnsi" w:cs="Arial"/>
        </w:rPr>
        <w:t>: </w:t>
      </w:r>
      <w:hyperlink r:id="rId8" w:history="1">
        <w:proofErr w:type="gramEnd"/>
        <w:r w:rsidRPr="00392BD7">
          <w:rPr>
            <w:rStyle w:val="Hipercze"/>
            <w:rFonts w:asciiTheme="minorHAnsi" w:hAnsiTheme="minorHAnsi" w:cs="Arial"/>
            <w:color w:val="auto"/>
          </w:rPr>
          <w:t>zglowiaczka@wp.pl</w:t>
        </w:r>
      </w:hyperlink>
      <w:r w:rsidRPr="00392BD7">
        <w:rPr>
          <w:rFonts w:asciiTheme="minorHAnsi" w:hAnsiTheme="minorHAnsi" w:cs="Arial"/>
        </w:rPr>
        <w:t> lub telefonicznie: 54 284 66 69.</w:t>
      </w:r>
    </w:p>
    <w:p w:rsidR="00487021" w:rsidRPr="00392BD7" w:rsidRDefault="00487021" w:rsidP="0048702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392BD7">
        <w:rPr>
          <w:rFonts w:asciiTheme="minorHAnsi" w:hAnsiTheme="minorHAnsi" w:cs="Arial"/>
        </w:rPr>
        <w:t xml:space="preserve">Pracownicy biura świadczą bezpłatne doradztwo w zakresie przygotowania wniosku. </w:t>
      </w:r>
    </w:p>
    <w:p w:rsidR="00997E64" w:rsidRPr="00392BD7" w:rsidRDefault="00997E64" w:rsidP="00997E64">
      <w:pPr>
        <w:pStyle w:val="Standard"/>
        <w:jc w:val="both"/>
        <w:rPr>
          <w:rFonts w:ascii="Calibri" w:hAnsi="Calibri"/>
          <w:b/>
          <w:bCs/>
          <w:lang w:val="pl-PL"/>
        </w:rPr>
      </w:pPr>
    </w:p>
    <w:p w:rsidR="00997E64" w:rsidRPr="00392BD7" w:rsidRDefault="00997E64" w:rsidP="00997E64">
      <w:pPr>
        <w:pStyle w:val="Standard"/>
        <w:jc w:val="both"/>
        <w:rPr>
          <w:rFonts w:ascii="Calibri" w:hAnsi="Calibri"/>
          <w:b/>
          <w:bCs/>
          <w:lang w:val="pl-PL"/>
        </w:rPr>
      </w:pPr>
      <w:bookmarkStart w:id="0" w:name="_GoBack"/>
      <w:bookmarkEnd w:id="0"/>
    </w:p>
    <w:p w:rsidR="00997E64" w:rsidRPr="00392BD7" w:rsidRDefault="00997E64" w:rsidP="00997E64">
      <w:pPr>
        <w:pStyle w:val="Standard"/>
        <w:jc w:val="both"/>
        <w:rPr>
          <w:rFonts w:asciiTheme="minorHAnsi" w:hAnsiTheme="minorHAnsi"/>
          <w:lang w:val="pl-PL"/>
        </w:rPr>
      </w:pPr>
      <w:r w:rsidRPr="00392BD7">
        <w:rPr>
          <w:rFonts w:asciiTheme="minorHAnsi" w:hAnsiTheme="minorHAnsi"/>
          <w:lang w:val="pl-PL"/>
        </w:rPr>
        <w:t xml:space="preserve">Więcej informacji o działalności LGD na stronie </w:t>
      </w:r>
      <w:hyperlink r:id="rId9" w:history="1">
        <w:r w:rsidRPr="00392BD7">
          <w:rPr>
            <w:rFonts w:asciiTheme="minorHAnsi" w:hAnsiTheme="minorHAnsi"/>
            <w:lang w:val="pl-PL"/>
          </w:rPr>
          <w:t>http://www.kujawiaki.pl/</w:t>
        </w:r>
      </w:hyperlink>
      <w:r w:rsidRPr="00392BD7">
        <w:rPr>
          <w:rFonts w:asciiTheme="minorHAnsi" w:hAnsiTheme="minorHAnsi"/>
          <w:lang w:val="pl-PL"/>
        </w:rPr>
        <w:t xml:space="preserve"> lub pod numerem telefonu 54 284 66 69.</w:t>
      </w:r>
    </w:p>
    <w:p w:rsidR="00917E05" w:rsidRPr="00917E05" w:rsidRDefault="00917E05" w:rsidP="00813260">
      <w:pPr>
        <w:jc w:val="center"/>
        <w:rPr>
          <w:rFonts w:ascii="Calibri" w:hAnsi="Calibri"/>
          <w:bCs/>
          <w:sz w:val="26"/>
          <w:szCs w:val="26"/>
        </w:rPr>
      </w:pPr>
    </w:p>
    <w:sectPr w:rsidR="00917E05" w:rsidRPr="00917E05" w:rsidSect="0085201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F18"/>
    <w:multiLevelType w:val="hybridMultilevel"/>
    <w:tmpl w:val="0D221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12FC1"/>
    <w:multiLevelType w:val="multilevel"/>
    <w:tmpl w:val="84949C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B"/>
    <w:rsid w:val="00392BD7"/>
    <w:rsid w:val="00487021"/>
    <w:rsid w:val="00627ACD"/>
    <w:rsid w:val="00736D7B"/>
    <w:rsid w:val="00813260"/>
    <w:rsid w:val="0085201D"/>
    <w:rsid w:val="008978A5"/>
    <w:rsid w:val="00917E05"/>
    <w:rsid w:val="00997E64"/>
    <w:rsid w:val="00C17789"/>
    <w:rsid w:val="00EB5032"/>
    <w:rsid w:val="00EF18C5"/>
    <w:rsid w:val="00F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E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7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81326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5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7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E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7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81326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5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wiaczka@wp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ujawia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B5EE-C08F-449E-B487-91CE8DD5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Adamska</dc:creator>
  <cp:keywords/>
  <dc:description/>
  <cp:lastModifiedBy>Dorota Adamska</cp:lastModifiedBy>
  <cp:revision>15</cp:revision>
  <cp:lastPrinted>2022-05-20T08:04:00Z</cp:lastPrinted>
  <dcterms:created xsi:type="dcterms:W3CDTF">2022-05-20T07:20:00Z</dcterms:created>
  <dcterms:modified xsi:type="dcterms:W3CDTF">2022-05-20T09:11:00Z</dcterms:modified>
</cp:coreProperties>
</file>