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png" ContentType="image/png"/>
  <Override PartName="/word/media/image2.png" ContentType="image/png"/>
  <Override PartName="/word/media/image7.jpeg" ContentType="image/jpeg"/>
  <Override PartName="/word/media/image3.png" ContentType="image/png"/>
  <Override PartName="/word/media/image4.png" ContentType="image/png"/>
  <Override PartName="/word/media/image10.png" ContentType="image/png"/>
  <Override PartName="/word/media/image5.png" ContentType="image/png"/>
  <Override PartName="/word/media/image6.png" ContentType="image/png"/>
  <Override PartName="/word/media/image11.png" ContentType="image/png"/>
  <Override PartName="/word/media/image8.png" ContentType="image/png"/>
  <Override PartName="/word/media/image9.png" ContentType="image/png"/>
  <Override PartName="/word/media/image12.png" ContentType="image/png"/>
  <Override PartName="/word/styles.xml" ContentType="application/vnd.openxmlformats-officedocument.wordprocessingml.styles+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_rels/chart1.xml.rels" ContentType="application/vnd.openxmlformats-package.relationship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_rels/document.xml.rels" ContentType="application/vnd.openxmlformats-package.relationships+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notes.xml" ContentType="application/vnd.openxmlformats-officedocument.wordprocessingml.footnotes+xml"/>
  <Override PartName="/word/embeddings/Microsoft_Excel_Worksheet.xlsx" ContentType="application/vnd.openxmlformats-officedocument.spreadsheetml.shee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mc:AlternateContent>
          <mc:Choice Requires="wps">
            <w:drawing>
              <wp:anchor behindDoc="0" distT="0" distB="0" distL="0" distR="0" simplePos="0" locked="0" layoutInCell="0" allowOverlap="1" relativeHeight="277" wp14:anchorId="09778915">
                <wp:simplePos x="0" y="0"/>
                <wp:positionH relativeFrom="column">
                  <wp:posOffset>-481330</wp:posOffset>
                </wp:positionH>
                <wp:positionV relativeFrom="paragraph">
                  <wp:posOffset>-377190</wp:posOffset>
                </wp:positionV>
                <wp:extent cx="6705600" cy="6648450"/>
                <wp:effectExtent l="0" t="0" r="0" b="0"/>
                <wp:wrapNone/>
                <wp:docPr id="1" name="Pole tekstowe 1"/>
                <a:graphic xmlns:a="http://schemas.openxmlformats.org/drawingml/2006/main">
                  <a:graphicData uri="http://schemas.microsoft.com/office/word/2010/wordprocessingShape">
                    <wps:wsp>
                      <wps:cNvSpPr/>
                      <wps:spPr>
                        <a:xfrm>
                          <a:off x="0" y="0"/>
                          <a:ext cx="6705720" cy="6648480"/>
                        </a:xfrm>
                        <a:prstGeom prst="rect">
                          <a:avLst/>
                        </a:prstGeom>
                        <a:noFill/>
                        <a:ln w="0">
                          <a:noFill/>
                        </a:ln>
                      </wps:spPr>
                      <wps:style>
                        <a:lnRef idx="0"/>
                        <a:fillRef idx="0"/>
                        <a:effectRef idx="0"/>
                        <a:fontRef idx="minor"/>
                      </wps:style>
                      <wps:txbx>
                        <w:txbxContent>
                          <w:sdt>
                            <w:sdtPr>
                              <w:docPartObj>
                                <w:docPartGallery w:val="Cover Pages"/>
                                <w:docPartUnique w:val="true"/>
                              </w:docPartObj>
                              <w:id w:val="847154248"/>
                            </w:sdtPr>
                            <w:sdtContent>
                              <w:p>
                                <w:pPr>
                                  <w:pStyle w:val="Zawartoramki"/>
                                  <w:spacing w:lineRule="auto" w:line="276" w:before="0" w:after="2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drawing>
                                    <wp:inline distT="0" distB="0" distL="0" distR="0">
                                      <wp:extent cx="6522720" cy="6522720"/>
                                      <wp:effectExtent l="0" t="0" r="0" b="0"/>
                                      <wp:docPr id="3"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
                                              <pic:cNvPicPr>
                                                <a:picLocks noChangeAspect="1" noChangeArrowheads="1"/>
                                              </pic:cNvPicPr>
                                            </pic:nvPicPr>
                                            <pic:blipFill>
                                              <a:blip r:embed="rId2"/>
                                              <a:stretch>
                                                <a:fillRect/>
                                              </a:stretch>
                                            </pic:blipFill>
                                            <pic:spPr bwMode="auto">
                                              <a:xfrm>
                                                <a:off x="0" y="0"/>
                                                <a:ext cx="6522720" cy="6522720"/>
                                              </a:xfrm>
                                              <a:prstGeom prst="rect">
                                                <a:avLst/>
                                              </a:prstGeom>
                                            </pic:spPr>
                                          </pic:pic>
                                        </a:graphicData>
                                      </a:graphic>
                                    </wp:inline>
                                  </w:drawing>
                                </w:r>
                              </w:p>
                            </w:sdtContent>
                          </w:sdt>
                        </w:txbxContent>
                      </wps:txbx>
                      <wps:bodyPr anchor="t">
                        <a:prstTxWarp prst="textNoShape"/>
                        <a:noAutofit/>
                      </wps:bodyPr>
                    </wps:wsp>
                  </a:graphicData>
                </a:graphic>
              </wp:anchor>
            </w:drawing>
          </mc:Choice>
          <mc:Fallback>
            <w:pict>
              <v:rect id="shape_0" ID="Pole tekstowe 1" path="m0,0l-2147483645,0l-2147483645,-2147483646l0,-2147483646xe" stroked="f" o:allowincell="f" style="position:absolute;margin-left:-37.9pt;margin-top:-29.7pt;width:527.95pt;height:523.45pt;mso-wrap-style:none;v-text-anchor:middle" wp14:anchorId="09778915">
                <v:fill o:detectmouseclick="t" on="false"/>
                <v:stroke color="#3465a4" joinstyle="round" endcap="flat"/>
                <v:textbox>
                  <w:txbxContent>
                    <w:sdt>
                      <w:sdtPr>
                        <w:docPartObj>
                          <w:docPartGallery w:val="Cover Pages"/>
                          <w:docPartUnique w:val="true"/>
                        </w:docPartObj>
                        <w:id w:val="1981537840"/>
                      </w:sdtPr>
                      <w:sdtContent>
                        <w:p>
                          <w:pPr>
                            <w:pStyle w:val="Zawartoramki"/>
                            <w:spacing w:lineRule="auto" w:line="276" w:before="0" w:after="2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drawing>
                              <wp:inline distT="0" distB="0" distL="0" distR="0">
                                <wp:extent cx="6522720" cy="6522720"/>
                                <wp:effectExtent l="0" t="0" r="0" b="0"/>
                                <wp:docPr id="4"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descr=""/>
                                        <pic:cNvPicPr>
                                          <a:picLocks noChangeAspect="1" noChangeArrowheads="1"/>
                                        </pic:cNvPicPr>
                                      </pic:nvPicPr>
                                      <pic:blipFill>
                                        <a:blip r:embed="rId3"/>
                                        <a:stretch>
                                          <a:fillRect/>
                                        </a:stretch>
                                      </pic:blipFill>
                                      <pic:spPr bwMode="auto">
                                        <a:xfrm>
                                          <a:off x="0" y="0"/>
                                          <a:ext cx="6522720" cy="6522720"/>
                                        </a:xfrm>
                                        <a:prstGeom prst="rect">
                                          <a:avLst/>
                                        </a:prstGeom>
                                      </pic:spPr>
                                    </pic:pic>
                                  </a:graphicData>
                                </a:graphic>
                              </wp:inline>
                            </w:drawing>
                          </w:r>
                        </w:p>
                      </w:sdtContent>
                    </w:sdt>
                  </w:txbxContent>
                </v:textbox>
                <w10:wrap type="none"/>
              </v:rect>
            </w:pict>
          </mc:Fallback>
        </mc:AlternateContent>
      </w:r>
    </w:p>
    <w:p>
      <w:pPr>
        <w:pStyle w:val="Normal"/>
        <w:spacing w:lineRule="auto" w:line="276" w:before="0" w:after="200"/>
        <w:rPr>
          <w:rFonts w:cs="Calibri" w:cstheme="minorHAnsi"/>
          <w:b/>
          <w:color w:val="10328F"/>
          <w:sz w:val="50"/>
          <w:szCs w:val="50"/>
        </w:rPr>
      </w:pPr>
      <w:r>
        <w:rPr>
          <w:rFonts w:cs="Calibri" w:cstheme="minorHAnsi"/>
          <w:b/>
          <w:color w:val="10328F"/>
          <w:sz w:val="50"/>
          <w:szCs w:val="50"/>
        </w:rPr>
        <mc:AlternateContent>
          <mc:Choice Requires="wps">
            <w:drawing>
              <wp:anchor behindDoc="0" distT="0" distB="3175" distL="182880" distR="193040" simplePos="0" locked="0" layoutInCell="0" allowOverlap="1" relativeHeight="275" wp14:anchorId="656AEED6">
                <wp:simplePos x="0" y="0"/>
                <wp:positionH relativeFrom="page">
                  <wp:posOffset>1343660</wp:posOffset>
                </wp:positionH>
                <wp:positionV relativeFrom="page">
                  <wp:posOffset>5773420</wp:posOffset>
                </wp:positionV>
                <wp:extent cx="4549140" cy="1223645"/>
                <wp:effectExtent l="0" t="635" r="0" b="0"/>
                <wp:wrapSquare wrapText="bothSides"/>
                <wp:docPr id="5" name="Pole tekstowe 32"/>
                <a:graphic xmlns:a="http://schemas.openxmlformats.org/drawingml/2006/main">
                  <a:graphicData uri="http://schemas.microsoft.com/office/word/2010/wordprocessingShape">
                    <wps:wsp>
                      <wps:cNvSpPr/>
                      <wps:spPr>
                        <a:xfrm>
                          <a:off x="0" y="0"/>
                          <a:ext cx="4549320" cy="122364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NoSpacing"/>
                              <w:spacing w:lineRule="auto" w:line="216" w:before="40" w:after="560"/>
                              <w:rPr>
                                <w:color w:val="4F81BD" w:themeColor="accent1"/>
                                <w:sz w:val="72"/>
                                <w:szCs w:val="72"/>
                              </w:rPr>
                            </w:pPr>
                            <w:r>
                              <w:rPr>
                                <w:color w:val="4F81BD" w:themeColor="accent1"/>
                                <w:sz w:val="72"/>
                                <w:szCs w:val="72"/>
                              </w:rPr>
                            </w:r>
                          </w:p>
                          <w:p>
                            <w:pPr>
                              <w:pStyle w:val="NoSpacing"/>
                              <w:spacing w:before="40" w:after="40"/>
                              <w:rPr>
                                <w:caps/>
                                <w:color w:val="215868" w:themeColor="accent5" w:themeShade="80"/>
                                <w:sz w:val="28"/>
                                <w:szCs w:val="28"/>
                              </w:rPr>
                            </w:pPr>
                            <w:sdt>
                              <w:sdtPr>
                                <w:id w:val="925726461"/>
                                <w:dataBinding w:prefixMappings="xmlns:ns0='http://purl.org/dc/elements/1.1/' xmlns:ns1='http://schemas.openxmlformats.org/package/2006/metadata/core-properties' " w:xpath="/ns1:coreProperties[1]/ns0:subject[1]" w:storeItemID="{6C3C8BC8-F283-45AE-878A-BAB7291924A1}"/>
                                <w:showingPlcHdr/>
                                <w:alias w:val="Podtytuł"/>
                                <w:text/>
                              </w:sdtPr>
                              <w:sdtContent>
                                <w:r>
                                  <w:rPr>
                                    <w:color w:val="000000"/>
                                  </w:rPr>
                                  <w:t xml:space="preserve">     </w:t>
                                </w:r>
                              </w:sdtContent>
                            </w:sdt>
                          </w:p>
                          <w:p>
                            <w:pPr>
                              <w:pStyle w:val="NoSpacing"/>
                              <w:spacing w:before="80" w:after="40"/>
                              <w:rPr>
                                <w:caps/>
                                <w:color w:val="4BACC6" w:themeColor="accent5"/>
                                <w:sz w:val="24"/>
                                <w:szCs w:val="24"/>
                              </w:rPr>
                            </w:pPr>
                            <w:sdt>
                              <w:sdtPr>
                                <w:id w:val="1688088222"/>
                                <w:dataBinding w:prefixMappings="xmlns:ns0='http://purl.org/dc/elements/1.1/' xmlns:ns1='http://schemas.openxmlformats.org/package/2006/metadata/core-properties' " w:xpath="/ns1:coreProperties[1]/ns0:creator[1]" w:storeItemID="{6C3C8BC8-F283-45AE-878A-BAB7291924A1}"/>
                                <w:alias w:val="Autor"/>
                                <w:text/>
                              </w:sdtPr>
                              <w:sdtContent>
                                <w:r>
                                  <w:rPr>
                                    <w:color w:val="000000"/>
                                  </w:rPr>
                                  <w:t>Magda Gutral</w:t>
                                </w:r>
                              </w:sdtContent>
                            </w:sdt>
                          </w:p>
                        </w:txbxContent>
                      </wps:txbx>
                      <wps:bodyPr lIns="0" rIns="0" tIns="0" bIns="0" anchor="t">
                        <a:prstTxWarp prst="textNoShape"/>
                        <a:spAutoFit/>
                      </wps:bodyPr>
                    </wps:wsp>
                  </a:graphicData>
                </a:graphic>
                <wp14:sizeRelH relativeFrom="margin">
                  <wp14:pctWidth>79000</wp14:pctWidth>
                </wp14:sizeRelH>
                <wp14:sizeRelV relativeFrom="page">
                  <wp14:pctHeight>35000</wp14:pctHeight>
                </wp14:sizeRelV>
              </wp:anchor>
            </w:drawing>
          </mc:Choice>
          <mc:Fallback>
            <w:pict>
              <v:rect id="shape_0" ID="Pole tekstowe 32" path="m0,0l-2147483645,0l-2147483645,-2147483646l0,-2147483646xe" stroked="f" o:allowincell="f" style="position:absolute;margin-left:105.8pt;margin-top:454.6pt;width:358.15pt;height:96.3pt;mso-wrap-style:square;v-text-anchor:top;mso-position-horizontal-relative:page;mso-position-vertical-relative:page" wp14:anchorId="656AEED6">
                <v:fill o:detectmouseclick="t" on="false"/>
                <v:stroke color="#3465a4" weight="6480" joinstyle="round" endcap="flat"/>
                <v:textbox>
                  <w:txbxContent>
                    <w:p>
                      <w:pPr>
                        <w:pStyle w:val="NoSpacing"/>
                        <w:spacing w:lineRule="auto" w:line="216" w:before="40" w:after="560"/>
                        <w:rPr>
                          <w:color w:val="4F81BD" w:themeColor="accent1"/>
                          <w:sz w:val="72"/>
                          <w:szCs w:val="72"/>
                        </w:rPr>
                      </w:pPr>
                      <w:r>
                        <w:rPr>
                          <w:color w:val="4F81BD" w:themeColor="accent1"/>
                          <w:sz w:val="72"/>
                          <w:szCs w:val="72"/>
                        </w:rPr>
                      </w:r>
                    </w:p>
                    <w:p>
                      <w:pPr>
                        <w:pStyle w:val="NoSpacing"/>
                        <w:spacing w:before="40" w:after="40"/>
                        <w:rPr>
                          <w:caps/>
                          <w:color w:val="215868" w:themeColor="accent5" w:themeShade="80"/>
                          <w:sz w:val="28"/>
                          <w:szCs w:val="28"/>
                        </w:rPr>
                      </w:pPr>
                      <w:sdt>
                        <w:sdtPr>
                          <w:id w:val="499613218"/>
                          <w:dataBinding w:prefixMappings="xmlns:ns0='http://purl.org/dc/elements/1.1/' xmlns:ns1='http://schemas.openxmlformats.org/package/2006/metadata/core-properties' " w:xpath="/ns1:coreProperties[1]/ns0:subject[1]" w:storeItemID="{6C3C8BC8-F283-45AE-878A-BAB7291924A1}"/>
                          <w:showingPlcHdr/>
                          <w:alias w:val="Podtytuł"/>
                          <w:text/>
                        </w:sdtPr>
                        <w:sdtContent>
                          <w:r>
                            <w:rPr>
                              <w:color w:val="000000"/>
                            </w:rPr>
                            <w:t xml:space="preserve">     </w:t>
                          </w:r>
                        </w:sdtContent>
                      </w:sdt>
                    </w:p>
                    <w:p>
                      <w:pPr>
                        <w:pStyle w:val="NoSpacing"/>
                        <w:spacing w:before="80" w:after="40"/>
                        <w:rPr>
                          <w:caps/>
                          <w:color w:val="4BACC6" w:themeColor="accent5"/>
                          <w:sz w:val="24"/>
                          <w:szCs w:val="24"/>
                        </w:rPr>
                      </w:pPr>
                      <w:sdt>
                        <w:sdtPr>
                          <w:id w:val="2113405398"/>
                          <w:dataBinding w:prefixMappings="xmlns:ns0='http://purl.org/dc/elements/1.1/' xmlns:ns1='http://schemas.openxmlformats.org/package/2006/metadata/core-properties' " w:xpath="/ns1:coreProperties[1]/ns0:creator[1]" w:storeItemID="{6C3C8BC8-F283-45AE-878A-BAB7291924A1}"/>
                          <w:alias w:val="Autor"/>
                          <w:text/>
                        </w:sdtPr>
                        <w:sdtContent>
                          <w:r>
                            <w:rPr>
                              <w:color w:val="000000"/>
                            </w:rPr>
                            <w:t>Magda Gutral</w:t>
                          </w:r>
                        </w:sdtContent>
                      </w:sdt>
                    </w:p>
                  </w:txbxContent>
                </v:textbox>
                <w10:wrap type="square"/>
              </v:rect>
            </w:pict>
          </mc:Fallback>
        </mc:AlternateContent>
        <mc:AlternateContent>
          <mc:Choice Requires="wps">
            <w:drawing>
              <wp:anchor behindDoc="0" distT="0" distB="8890" distL="0" distR="0" simplePos="0" locked="0" layoutInCell="0" allowOverlap="1" relativeHeight="279" wp14:anchorId="41B9CC96">
                <wp:simplePos x="0" y="0"/>
                <wp:positionH relativeFrom="column">
                  <wp:posOffset>1985645</wp:posOffset>
                </wp:positionH>
                <wp:positionV relativeFrom="paragraph">
                  <wp:posOffset>3063875</wp:posOffset>
                </wp:positionV>
                <wp:extent cx="4371975" cy="1933575"/>
                <wp:effectExtent l="0" t="0" r="0" b="9525"/>
                <wp:wrapNone/>
                <wp:docPr id="7" name="Pole tekstowe 1"/>
                <a:graphic xmlns:a="http://schemas.openxmlformats.org/drawingml/2006/main">
                  <a:graphicData uri="http://schemas.microsoft.com/office/word/2010/wordprocessingShape">
                    <wps:wsp>
                      <wps:cNvSpPr/>
                      <wps:spPr>
                        <a:xfrm>
                          <a:off x="0" y="0"/>
                          <a:ext cx="4371840" cy="1933560"/>
                        </a:xfrm>
                        <a:prstGeom prst="rect">
                          <a:avLst/>
                        </a:prstGeom>
                        <a:noFill/>
                        <a:ln w="0">
                          <a:noFill/>
                        </a:ln>
                      </wps:spPr>
                      <wps:style>
                        <a:lnRef idx="0"/>
                        <a:fillRef idx="0"/>
                        <a:effectRef idx="0"/>
                        <a:fontRef idx="minor"/>
                      </wps:style>
                      <wps:txbx>
                        <w:txbxContent>
                          <w:p>
                            <w:pPr>
                              <w:pStyle w:val="Zawartoramki"/>
                              <w:tabs>
                                <w:tab w:val="clear" w:pos="680"/>
                                <w:tab w:val="left" w:pos="4253" w:leader="none"/>
                              </w:tabs>
                              <w:spacing w:lineRule="auto" w:line="276" w:before="0" w:after="0"/>
                              <w:rPr>
                                <w:b/>
                                <w:bCs/>
                                <w:color w:val="0000CC"/>
                                <w:sz w:val="56"/>
                                <w:szCs w:val="56"/>
                              </w:rPr>
                            </w:pPr>
                            <w:r>
                              <w:rPr>
                                <w:b/>
                                <w:bCs/>
                                <w:color w:val="0000CC"/>
                                <w:sz w:val="56"/>
                                <w:szCs w:val="56"/>
                              </w:rPr>
                              <w:t>Strategia Terytorialna</w:t>
                            </w:r>
                          </w:p>
                          <w:p>
                            <w:pPr>
                              <w:pStyle w:val="Zawartoramki"/>
                              <w:tabs>
                                <w:tab w:val="clear" w:pos="680"/>
                                <w:tab w:val="left" w:pos="4111" w:leader="none"/>
                                <w:tab w:val="left" w:pos="4536" w:leader="none"/>
                              </w:tabs>
                              <w:spacing w:lineRule="auto" w:line="276" w:before="0" w:after="0"/>
                              <w:rPr>
                                <w:b/>
                                <w:bCs/>
                                <w:color w:val="0000CC"/>
                                <w:sz w:val="56"/>
                                <w:szCs w:val="56"/>
                              </w:rPr>
                            </w:pPr>
                            <w:r>
                              <w:rPr>
                                <w:b/>
                                <w:bCs/>
                                <w:color w:val="0000CC"/>
                                <w:sz w:val="56"/>
                                <w:szCs w:val="56"/>
                              </w:rPr>
                              <w:t>Miejskiego Obszaru</w:t>
                            </w:r>
                          </w:p>
                          <w:p>
                            <w:pPr>
                              <w:pStyle w:val="Zawartoramki"/>
                              <w:spacing w:lineRule="auto" w:line="276" w:before="0" w:after="0"/>
                              <w:rPr>
                                <w:b/>
                                <w:bCs/>
                                <w:color w:val="0000CC"/>
                                <w:sz w:val="56"/>
                                <w:szCs w:val="56"/>
                              </w:rPr>
                            </w:pPr>
                            <w:r>
                              <w:rPr>
                                <w:b/>
                                <w:bCs/>
                                <w:color w:val="0000CC"/>
                                <w:sz w:val="56"/>
                                <w:szCs w:val="56"/>
                              </w:rPr>
                              <w:t>Funkcjonalnego Włocławka</w:t>
                            </w:r>
                          </w:p>
                          <w:p>
                            <w:pPr>
                              <w:pStyle w:val="Zawartoramki"/>
                              <w:spacing w:before="0" w:after="16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
                          </w:p>
                        </w:txbxContent>
                      </wps:txbx>
                      <wps:bodyPr anchor="t">
                        <a:prstTxWarp prst="textNoShape"/>
                        <a:noAutofit/>
                      </wps:bodyPr>
                    </wps:wsp>
                  </a:graphicData>
                </a:graphic>
              </wp:anchor>
            </w:drawing>
          </mc:Choice>
          <mc:Fallback>
            <w:pict>
              <v:rect id="shape_0" ID="Pole tekstowe 1" path="m0,0l-2147483645,0l-2147483645,-2147483646l0,-2147483646xe" stroked="f" o:allowincell="f" style="position:absolute;margin-left:156.35pt;margin-top:241.25pt;width:344.2pt;height:152.2pt;mso-wrap-style:square;v-text-anchor:top" wp14:anchorId="41B9CC96">
                <v:fill o:detectmouseclick="t" on="false"/>
                <v:stroke color="#3465a4" joinstyle="round" endcap="flat"/>
                <v:textbox>
                  <w:txbxContent>
                    <w:p>
                      <w:pPr>
                        <w:pStyle w:val="Zawartoramki"/>
                        <w:tabs>
                          <w:tab w:val="clear" w:pos="680"/>
                          <w:tab w:val="left" w:pos="4253" w:leader="none"/>
                        </w:tabs>
                        <w:spacing w:lineRule="auto" w:line="276" w:before="0" w:after="0"/>
                        <w:rPr>
                          <w:b/>
                          <w:bCs/>
                          <w:color w:val="0000CC"/>
                          <w:sz w:val="56"/>
                          <w:szCs w:val="56"/>
                        </w:rPr>
                      </w:pPr>
                      <w:r>
                        <w:rPr>
                          <w:b/>
                          <w:bCs/>
                          <w:color w:val="0000CC"/>
                          <w:sz w:val="56"/>
                          <w:szCs w:val="56"/>
                        </w:rPr>
                        <w:t>Strategia Terytorialna</w:t>
                      </w:r>
                    </w:p>
                    <w:p>
                      <w:pPr>
                        <w:pStyle w:val="Zawartoramki"/>
                        <w:tabs>
                          <w:tab w:val="clear" w:pos="680"/>
                          <w:tab w:val="left" w:pos="4111" w:leader="none"/>
                          <w:tab w:val="left" w:pos="4536" w:leader="none"/>
                        </w:tabs>
                        <w:spacing w:lineRule="auto" w:line="276" w:before="0" w:after="0"/>
                        <w:rPr>
                          <w:b/>
                          <w:bCs/>
                          <w:color w:val="0000CC"/>
                          <w:sz w:val="56"/>
                          <w:szCs w:val="56"/>
                        </w:rPr>
                      </w:pPr>
                      <w:r>
                        <w:rPr>
                          <w:b/>
                          <w:bCs/>
                          <w:color w:val="0000CC"/>
                          <w:sz w:val="56"/>
                          <w:szCs w:val="56"/>
                        </w:rPr>
                        <w:t>Miejskiego Obszaru</w:t>
                      </w:r>
                    </w:p>
                    <w:p>
                      <w:pPr>
                        <w:pStyle w:val="Zawartoramki"/>
                        <w:spacing w:lineRule="auto" w:line="276" w:before="0" w:after="0"/>
                        <w:rPr>
                          <w:b/>
                          <w:bCs/>
                          <w:color w:val="0000CC"/>
                          <w:sz w:val="56"/>
                          <w:szCs w:val="56"/>
                        </w:rPr>
                      </w:pPr>
                      <w:r>
                        <w:rPr>
                          <w:b/>
                          <w:bCs/>
                          <w:color w:val="0000CC"/>
                          <w:sz w:val="56"/>
                          <w:szCs w:val="56"/>
                        </w:rPr>
                        <w:t>Funkcjonalnego Włocławka</w:t>
                      </w:r>
                    </w:p>
                    <w:p>
                      <w:pPr>
                        <w:pStyle w:val="Zawartoramki"/>
                        <w:spacing w:before="0" w:after="16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
                    </w:p>
                  </w:txbxContent>
                </v:textbox>
                <w10:wrap type="none"/>
              </v:rect>
            </w:pict>
          </mc:Fallback>
        </mc:AlternateContent>
        <mc:AlternateContent>
          <mc:Choice Requires="wps">
            <w:drawing>
              <wp:anchor behindDoc="0" distT="0" distB="0" distL="0" distR="0" simplePos="0" locked="0" layoutInCell="0" allowOverlap="1" relativeHeight="281" wp14:anchorId="3344D3F9">
                <wp:simplePos x="0" y="0"/>
                <wp:positionH relativeFrom="column">
                  <wp:posOffset>918845</wp:posOffset>
                </wp:positionH>
                <wp:positionV relativeFrom="paragraph">
                  <wp:posOffset>4997450</wp:posOffset>
                </wp:positionV>
                <wp:extent cx="4248150" cy="3333750"/>
                <wp:effectExtent l="0" t="0" r="0" b="0"/>
                <wp:wrapNone/>
                <wp:docPr id="9" name="Pole tekstowe 1"/>
                <a:graphic xmlns:a="http://schemas.openxmlformats.org/drawingml/2006/main">
                  <a:graphicData uri="http://schemas.microsoft.com/office/word/2010/wordprocessingShape">
                    <wps:wsp>
                      <wps:cNvSpPr/>
                      <wps:spPr>
                        <a:xfrm>
                          <a:off x="0" y="0"/>
                          <a:ext cx="4248000" cy="3333600"/>
                        </a:xfrm>
                        <a:prstGeom prst="rect">
                          <a:avLst/>
                        </a:prstGeom>
                        <a:noFill/>
                        <a:ln w="0">
                          <a:noFill/>
                        </a:ln>
                      </wps:spPr>
                      <wps:style>
                        <a:lnRef idx="0"/>
                        <a:fillRef idx="0"/>
                        <a:effectRef idx="0"/>
                        <a:fontRef idx="minor"/>
                      </wps:style>
                      <wps:txbx>
                        <w:txbxContent>
                          <w:p>
                            <w:pPr>
                              <w:pStyle w:val="Zawartoramki"/>
                              <w:spacing w:lineRule="auto" w:line="276" w:before="0" w:after="2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drawing>
                                <wp:inline distT="0" distB="0" distL="0" distR="0">
                                  <wp:extent cx="3279775" cy="2924175"/>
                                  <wp:effectExtent l="0" t="0" r="0" b="0"/>
                                  <wp:docPr id="11" name="Obraz 745091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745091810" descr=""/>
                                          <pic:cNvPicPr>
                                            <a:picLocks noChangeAspect="1" noChangeArrowheads="1"/>
                                          </pic:cNvPicPr>
                                        </pic:nvPicPr>
                                        <pic:blipFill>
                                          <a:blip r:embed="rId4"/>
                                          <a:stretch>
                                            <a:fillRect/>
                                          </a:stretch>
                                        </pic:blipFill>
                                        <pic:spPr bwMode="auto">
                                          <a:xfrm>
                                            <a:off x="0" y="0"/>
                                            <a:ext cx="3279775" cy="292417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Pole tekstowe 1" path="m0,0l-2147483645,0l-2147483645,-2147483646l0,-2147483646xe" stroked="f" o:allowincell="f" style="position:absolute;margin-left:72.35pt;margin-top:393.5pt;width:334.45pt;height:262.45pt;mso-wrap-style:none;v-text-anchor:middle" wp14:anchorId="3344D3F9">
                <v:fill o:detectmouseclick="t" on="false"/>
                <v:stroke color="#3465a4" joinstyle="round" endcap="flat"/>
                <v:textbox>
                  <w:txbxContent>
                    <w:p>
                      <w:pPr>
                        <w:pStyle w:val="Zawartoramki"/>
                        <w:spacing w:lineRule="auto" w:line="276" w:before="0" w:after="2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drawing>
                          <wp:inline distT="0" distB="0" distL="0" distR="0">
                            <wp:extent cx="3279775" cy="2924175"/>
                            <wp:effectExtent l="0" t="0" r="0" b="0"/>
                            <wp:docPr id="12" name="Obraz 745091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745091810" descr=""/>
                                    <pic:cNvPicPr>
                                      <a:picLocks noChangeAspect="1" noChangeArrowheads="1"/>
                                    </pic:cNvPicPr>
                                  </pic:nvPicPr>
                                  <pic:blipFill>
                                    <a:blip r:embed="rId5"/>
                                    <a:stretch>
                                      <a:fillRect/>
                                    </a:stretch>
                                  </pic:blipFill>
                                  <pic:spPr bwMode="auto">
                                    <a:xfrm>
                                      <a:off x="0" y="0"/>
                                      <a:ext cx="3279775" cy="2924175"/>
                                    </a:xfrm>
                                    <a:prstGeom prst="rect">
                                      <a:avLst/>
                                    </a:prstGeom>
                                  </pic:spPr>
                                </pic:pic>
                              </a:graphicData>
                            </a:graphic>
                          </wp:inline>
                        </w:drawing>
                      </w:r>
                    </w:p>
                  </w:txbxContent>
                </v:textbox>
                <w10:wrap type="none"/>
              </v:rect>
            </w:pict>
          </mc:Fallback>
        </mc:AlternateContent>
        <mc:AlternateContent>
          <mc:Choice Requires="wps">
            <w:drawing>
              <wp:anchor behindDoc="0" distT="0" distB="8890" distL="0" distR="0" simplePos="0" locked="0" layoutInCell="0" allowOverlap="1" relativeHeight="283" wp14:anchorId="1AEFBD1A">
                <wp:simplePos x="0" y="0"/>
                <wp:positionH relativeFrom="column">
                  <wp:posOffset>918845</wp:posOffset>
                </wp:positionH>
                <wp:positionV relativeFrom="paragraph">
                  <wp:posOffset>8026400</wp:posOffset>
                </wp:positionV>
                <wp:extent cx="4063365" cy="1190625"/>
                <wp:effectExtent l="0" t="0" r="0" b="9525"/>
                <wp:wrapNone/>
                <wp:docPr id="13" name="Pole tekstowe 1"/>
                <a:graphic xmlns:a="http://schemas.openxmlformats.org/drawingml/2006/main">
                  <a:graphicData uri="http://schemas.microsoft.com/office/word/2010/wordprocessingShape">
                    <wps:wsp>
                      <wps:cNvSpPr/>
                      <wps:spPr>
                        <a:xfrm>
                          <a:off x="0" y="0"/>
                          <a:ext cx="4063320" cy="1190520"/>
                        </a:xfrm>
                        <a:prstGeom prst="rect">
                          <a:avLst/>
                        </a:prstGeom>
                        <a:noFill/>
                        <a:ln w="0">
                          <a:noFill/>
                        </a:ln>
                      </wps:spPr>
                      <wps:style>
                        <a:lnRef idx="0"/>
                        <a:fillRef idx="0"/>
                        <a:effectRef idx="0"/>
                        <a:fontRef idx="minor"/>
                      </wps:style>
                      <wps:txbx>
                        <w:txbxContent>
                          <w:p>
                            <w:pPr>
                              <w:pStyle w:val="Zawartoramki"/>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Zawartoramki"/>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Zawartoramki"/>
                              <w:spacing w:before="0" w:after="160"/>
                              <w:jc w:val="center"/>
                              <w:rPr>
                                <w:sz w:val="24"/>
                                <w:szCs w:val="24"/>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wps:txbx>
                      <wps:bodyPr anchor="t">
                        <a:prstTxWarp prst="textNoShape"/>
                        <a:noAutofit/>
                      </wps:bodyPr>
                    </wps:wsp>
                  </a:graphicData>
                </a:graphic>
              </wp:anchor>
            </w:drawing>
          </mc:Choice>
          <mc:Fallback>
            <w:pict>
              <v:rect id="shape_0" ID="Pole tekstowe 1" path="m0,0l-2147483645,0l-2147483645,-2147483646l0,-2147483646xe" stroked="f" o:allowincell="f" style="position:absolute;margin-left:72.35pt;margin-top:632pt;width:319.9pt;height:93.7pt;mso-wrap-style:square;v-text-anchor:top" wp14:anchorId="1AEFBD1A">
                <v:fill o:detectmouseclick="t" on="false"/>
                <v:stroke color="#3465a4" joinstyle="round" endcap="flat"/>
                <v:textbox>
                  <w:txbxContent>
                    <w:p>
                      <w:pPr>
                        <w:pStyle w:val="Zawartoramki"/>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Zawartoramki"/>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Zawartoramki"/>
                        <w:spacing w:before="0" w:after="160"/>
                        <w:jc w:val="center"/>
                        <w:rPr>
                          <w:sz w:val="24"/>
                          <w:szCs w:val="24"/>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v:textbox>
                <w10:wrap type="none"/>
              </v:rect>
            </w:pict>
          </mc:Fallback>
        </mc:AlternateContent>
      </w:r>
      <w:r>
        <w:br w:type="page"/>
      </w:r>
    </w:p>
    <w:p>
      <w:pPr>
        <w:pStyle w:val="Normal"/>
        <w:spacing w:lineRule="exact" w:line="700" w:before="11000" w:after="400"/>
        <w:jc w:val="center"/>
        <w:rPr>
          <w:rFonts w:cs="Calibri" w:cstheme="minorHAnsi"/>
          <w:bCs/>
          <w:sz w:val="24"/>
          <w:szCs w:val="24"/>
          <w:lang w:eastAsia="pl-PL"/>
        </w:rPr>
      </w:pPr>
      <w:r>
        <w:rPr/>
        <mc:AlternateContent>
          <mc:Choice Requires="wps">
            <w:drawing>
              <wp:inline distT="0" distB="0" distL="0" distR="0" wp14:anchorId="00D1D541">
                <wp:extent cx="3448685" cy="629920"/>
                <wp:effectExtent l="0" t="0" r="0" b="0"/>
                <wp:docPr id="15" name="Pole tekstowe 1"/>
                <a:graphic xmlns:a="http://schemas.openxmlformats.org/drawingml/2006/main">
                  <a:graphicData uri="http://schemas.microsoft.com/office/word/2010/wordprocessingShape">
                    <wps:wsp>
                      <wps:cNvSpPr/>
                      <wps:spPr>
                        <a:xfrm>
                          <a:off x="0" y="0"/>
                          <a:ext cx="3448800" cy="630000"/>
                        </a:xfrm>
                        <a:prstGeom prst="rect">
                          <a:avLst/>
                        </a:prstGeom>
                        <a:noFill/>
                        <a:ln w="0">
                          <a:noFill/>
                        </a:ln>
                      </wps:spPr>
                      <wps:style>
                        <a:lnRef idx="0"/>
                        <a:fillRef idx="0"/>
                        <a:effectRef idx="0"/>
                        <a:fontRef idx="minor"/>
                      </wps:style>
                      <wps:txbx>
                        <w:txbxContent>
                          <w:p>
                            <w:pPr>
                              <w:pStyle w:val="Zawartoramki"/>
                              <w:spacing w:lineRule="exact" w:line="700" w:before="11000" w:after="4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wps:txbx>
                      <wps:bodyPr anchor="t">
                        <a:prstTxWarp prst="textNoShape"/>
                        <a:noAutofit/>
                      </wps:bodyPr>
                    </wps:wsp>
                  </a:graphicData>
                </a:graphic>
              </wp:inline>
            </w:drawing>
          </mc:Choice>
          <mc:Fallback>
            <w:pict>
              <v:rect id="shape_0" ID="Pole tekstowe 1" path="m0,0l-2147483645,0l-2147483645,-2147483646l0,-2147483646xe" stroked="f" o:allowincell="f" style="position:absolute;margin-left:0pt;margin-top:-49.65pt;width:271.5pt;height:49.55pt;mso-wrap-style:square;v-text-anchor:top;mso-position-vertical:top" wp14:anchorId="00D1D541">
                <v:fill o:detectmouseclick="t" on="false"/>
                <v:stroke color="#3465a4" joinstyle="round" endcap="flat"/>
                <v:textbox>
                  <w:txbxContent>
                    <w:p>
                      <w:pPr>
                        <w:pStyle w:val="Zawartoramki"/>
                        <w:spacing w:lineRule="exact" w:line="700" w:before="11000" w:after="4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v:textbox>
                <w10:wrap type="square"/>
              </v:rect>
            </w:pict>
          </mc:Fallback>
        </mc:AlternateContent>
        <mc:AlternateContent>
          <mc:Choice Requires="wps">
            <w:drawing>
              <wp:anchor behindDoc="0" distT="0" distB="0" distL="0" distR="0" simplePos="0" locked="0" layoutInCell="0" allowOverlap="1" relativeHeight="99" wp14:anchorId="03E6F461">
                <wp:simplePos x="0" y="0"/>
                <wp:positionH relativeFrom="column">
                  <wp:posOffset>-595630</wp:posOffset>
                </wp:positionH>
                <wp:positionV relativeFrom="paragraph">
                  <wp:posOffset>-577215</wp:posOffset>
                </wp:positionV>
                <wp:extent cx="6934200" cy="5962650"/>
                <wp:effectExtent l="0" t="0" r="0" b="0"/>
                <wp:wrapNone/>
                <wp:docPr id="17" name="Pole tekstowe 1"/>
                <a:graphic xmlns:a="http://schemas.openxmlformats.org/drawingml/2006/main">
                  <a:graphicData uri="http://schemas.microsoft.com/office/word/2010/wordprocessingShape">
                    <wps:wsp>
                      <wps:cNvSpPr/>
                      <wps:spPr>
                        <a:xfrm>
                          <a:off x="0" y="0"/>
                          <a:ext cx="6934320" cy="5962680"/>
                        </a:xfrm>
                        <a:prstGeom prst="rect">
                          <a:avLst/>
                        </a:prstGeom>
                        <a:noFill/>
                        <a:ln w="0">
                          <a:noFill/>
                        </a:ln>
                      </wps:spPr>
                      <wps:style>
                        <a:lnRef idx="0"/>
                        <a:fillRef idx="0"/>
                        <a:effectRef idx="0"/>
                        <a:fontRef idx="minor"/>
                      </wps:style>
                      <wps:txbx>
                        <w:txbxContent>
                          <w:p>
                            <w:pPr>
                              <w:pStyle w:val="Zawartoramki"/>
                              <w:spacing w:lineRule="exact" w:line="700" w:before="11000" w:after="400"/>
                              <w:jc w:val="center"/>
                              <w:rPr>
                                <w:rFonts w:cs="Calibri"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wps:txbx>
                      <wps:bodyPr anchor="t">
                        <a:prstTxWarp prst="textNoShape"/>
                        <a:noAutofit/>
                      </wps:bodyPr>
                    </wps:wsp>
                  </a:graphicData>
                </a:graphic>
              </wp:anchor>
            </w:drawing>
          </mc:Choice>
          <mc:Fallback>
            <w:pict>
              <v:rect id="shape_0" ID="Pole tekstowe 1" path="m0,0l-2147483645,0l-2147483645,-2147483646l0,-2147483646xe" stroked="f" o:allowincell="f" style="position:absolute;margin-left:-46.9pt;margin-top:-45.45pt;width:545.95pt;height:469.45pt;mso-wrap-style:square;v-text-anchor:top" wp14:anchorId="03E6F461">
                <v:fill o:detectmouseclick="t" on="false"/>
                <v:stroke color="#3465a4" joinstyle="round" endcap="flat"/>
                <v:textbox>
                  <w:txbxContent>
                    <w:p>
                      <w:pPr>
                        <w:pStyle w:val="Zawartoramki"/>
                        <w:spacing w:lineRule="exact" w:line="700" w:before="11000" w:after="400"/>
                        <w:jc w:val="center"/>
                        <w:rPr>
                          <w:rFonts w:cs="Calibri"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alibri"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v:textbox>
                <w10:wrap type="none"/>
              </v:rect>
            </w:pict>
          </mc:Fallback>
        </mc:AlternateContent>
        <mc:AlternateContent>
          <mc:Choice Requires="wps">
            <w:drawing>
              <wp:anchor behindDoc="0" distT="0" distB="0" distL="0" distR="0" simplePos="0" locked="0" layoutInCell="0" allowOverlap="1" relativeHeight="271" wp14:anchorId="7EA0BB32">
                <wp:simplePos x="0" y="0"/>
                <wp:positionH relativeFrom="column">
                  <wp:posOffset>1499870</wp:posOffset>
                </wp:positionH>
                <wp:positionV relativeFrom="paragraph">
                  <wp:posOffset>3861435</wp:posOffset>
                </wp:positionV>
                <wp:extent cx="4953000" cy="1714500"/>
                <wp:effectExtent l="0" t="0" r="0" b="0"/>
                <wp:wrapNone/>
                <wp:docPr id="19" name="Pole tekstowe 1"/>
                <a:graphic xmlns:a="http://schemas.openxmlformats.org/drawingml/2006/main">
                  <a:graphicData uri="http://schemas.microsoft.com/office/word/2010/wordprocessingShape">
                    <wps:wsp>
                      <wps:cNvSpPr/>
                      <wps:spPr>
                        <a:xfrm>
                          <a:off x="0" y="0"/>
                          <a:ext cx="4952880" cy="1714680"/>
                        </a:xfrm>
                        <a:prstGeom prst="rect">
                          <a:avLst/>
                        </a:prstGeom>
                        <a:noFill/>
                        <a:ln w="0">
                          <a:noFill/>
                        </a:ln>
                      </wps:spPr>
                      <wps:style>
                        <a:lnRef idx="0"/>
                        <a:fillRef idx="0"/>
                        <a:effectRef idx="0"/>
                        <a:fontRef idx="minor"/>
                      </wps:style>
                      <wps:txbx>
                        <w:txbxContent>
                          <w:p>
                            <w:pPr>
                              <w:pStyle w:val="Zawartoramki"/>
                              <w:tabs>
                                <w:tab w:val="clear" w:pos="680"/>
                                <w:tab w:val="left" w:pos="4253" w:leader="none"/>
                              </w:tabs>
                              <w:spacing w:lineRule="auto" w:line="276" w:before="0" w:after="0"/>
                              <w:rPr>
                                <w:b/>
                                <w:bCs/>
                                <w:color w:val="0000CC"/>
                                <w:sz w:val="56"/>
                                <w:szCs w:val="56"/>
                              </w:rPr>
                            </w:pPr>
                            <w:r>
                              <w:rPr>
                                <w:b/>
                                <w:bCs/>
                                <w:color w:val="0000CC"/>
                                <w:sz w:val="56"/>
                                <w:szCs w:val="56"/>
                              </w:rPr>
                              <w:t xml:space="preserve">        </w:t>
                            </w:r>
                          </w:p>
                          <w:p>
                            <w:pPr>
                              <w:pStyle w:val="Zawartoramki"/>
                              <w:spacing w:lineRule="exact" w:line="700" w:before="11000" w:after="4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wps:txbx>
                      <wps:bodyPr anchor="t">
                        <a:prstTxWarp prst="textNoShape"/>
                        <a:noAutofit/>
                      </wps:bodyPr>
                    </wps:wsp>
                  </a:graphicData>
                </a:graphic>
              </wp:anchor>
            </w:drawing>
          </mc:Choice>
          <mc:Fallback>
            <w:pict>
              <v:rect id="shape_0" ID="Pole tekstowe 1" path="m0,0l-2147483645,0l-2147483645,-2147483646l0,-2147483646xe" stroked="f" o:allowincell="f" style="position:absolute;margin-left:118.1pt;margin-top:304.05pt;width:389.95pt;height:134.95pt;mso-wrap-style:square;v-text-anchor:top" wp14:anchorId="7EA0BB32">
                <v:fill o:detectmouseclick="t" on="false"/>
                <v:stroke color="#3465a4" joinstyle="round" endcap="flat"/>
                <v:textbox>
                  <w:txbxContent>
                    <w:p>
                      <w:pPr>
                        <w:pStyle w:val="Zawartoramki"/>
                        <w:tabs>
                          <w:tab w:val="clear" w:pos="680"/>
                          <w:tab w:val="left" w:pos="4253" w:leader="none"/>
                        </w:tabs>
                        <w:spacing w:lineRule="auto" w:line="276" w:before="0" w:after="0"/>
                        <w:rPr>
                          <w:b/>
                          <w:bCs/>
                          <w:color w:val="0000CC"/>
                          <w:sz w:val="56"/>
                          <w:szCs w:val="56"/>
                        </w:rPr>
                      </w:pPr>
                      <w:r>
                        <w:rPr>
                          <w:b/>
                          <w:bCs/>
                          <w:color w:val="0000CC"/>
                          <w:sz w:val="56"/>
                          <w:szCs w:val="56"/>
                        </w:rPr>
                        <w:t xml:space="preserve">        </w:t>
                      </w:r>
                    </w:p>
                    <w:p>
                      <w:pPr>
                        <w:pStyle w:val="Zawartoramki"/>
                        <w:spacing w:lineRule="exact" w:line="700" w:before="11000" w:after="40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v:textbox>
                <w10:wrap type="none"/>
              </v:rect>
            </w:pict>
          </mc:Fallback>
        </mc:AlternateContent>
        <mc:AlternateContent>
          <mc:Choice Requires="wps">
            <w:drawing>
              <wp:anchor behindDoc="0" distT="0" distB="0" distL="0" distR="0" simplePos="0" locked="0" layoutInCell="0" allowOverlap="1" relativeHeight="273" wp14:anchorId="1ECE8AF8">
                <wp:simplePos x="0" y="0"/>
                <wp:positionH relativeFrom="page">
                  <wp:posOffset>1619250</wp:posOffset>
                </wp:positionH>
                <wp:positionV relativeFrom="paragraph">
                  <wp:posOffset>8966835</wp:posOffset>
                </wp:positionV>
                <wp:extent cx="4543425" cy="628650"/>
                <wp:effectExtent l="0" t="0" r="0" b="0"/>
                <wp:wrapNone/>
                <wp:docPr id="21" name="Pole tekstowe 1"/>
                <a:graphic xmlns:a="http://schemas.openxmlformats.org/drawingml/2006/main">
                  <a:graphicData uri="http://schemas.microsoft.com/office/word/2010/wordprocessingShape">
                    <wps:wsp>
                      <wps:cNvSpPr/>
                      <wps:spPr>
                        <a:xfrm>
                          <a:off x="0" y="0"/>
                          <a:ext cx="4543560" cy="628560"/>
                        </a:xfrm>
                        <a:prstGeom prst="rect">
                          <a:avLst/>
                        </a:prstGeom>
                        <a:noFill/>
                        <a:ln w="0">
                          <a:noFill/>
                        </a:ln>
                      </wps:spPr>
                      <wps:style>
                        <a:lnRef idx="0"/>
                        <a:fillRef idx="0"/>
                        <a:effectRef idx="0"/>
                        <a:fontRef idx="minor"/>
                      </wps:style>
                      <wps:txbx>
                        <w:txbxContent>
                          <w:p>
                            <w:pPr>
                              <w:pStyle w:val="Zawartoramki"/>
                              <w:spacing w:lineRule="exact" w:line="700" w:before="11000" w:after="40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16"/>
                                <w:szCs w:val="16"/>
                              </w:rPr>
                              <w:t>W</w:t>
                            </w:r>
                            <w:r>
                              <w:rPr/>
                              <w:drawing>
                                <wp:inline distT="0" distB="0" distL="0" distR="0">
                                  <wp:extent cx="3279775" cy="2924175"/>
                                  <wp:effectExtent l="0" t="0" r="0" b="0"/>
                                  <wp:docPr id="23" name="Obraz 1301068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301068223" descr=""/>
                                          <pic:cNvPicPr>
                                            <a:picLocks noChangeAspect="1" noChangeArrowheads="1"/>
                                          </pic:cNvPicPr>
                                        </pic:nvPicPr>
                                        <pic:blipFill>
                                          <a:blip r:embed="rId6"/>
                                          <a:stretch>
                                            <a:fillRect/>
                                          </a:stretch>
                                        </pic:blipFill>
                                        <pic:spPr bwMode="auto">
                                          <a:xfrm>
                                            <a:off x="0" y="0"/>
                                            <a:ext cx="3279775" cy="2924175"/>
                                          </a:xfrm>
                                          <a:prstGeom prst="rect">
                                            <a:avLst/>
                                          </a:prstGeom>
                                        </pic:spPr>
                                      </pic:pic>
                                    </a:graphicData>
                                  </a:graphic>
                                </wp:inline>
                              </w:drawing>
                            </w:r>
                            <w:r>
                              <w:rPr/>
                              <w:drawing>
                                <wp:inline distT="0" distB="0" distL="0" distR="0">
                                  <wp:extent cx="3279775" cy="2924175"/>
                                  <wp:effectExtent l="0" t="0" r="0" b="0"/>
                                  <wp:docPr id="24" name="Obraz 1629359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629359092" descr=""/>
                                          <pic:cNvPicPr>
                                            <a:picLocks noChangeAspect="1" noChangeArrowheads="1"/>
                                          </pic:cNvPicPr>
                                        </pic:nvPicPr>
                                        <pic:blipFill>
                                          <a:blip r:embed="rId7"/>
                                          <a:stretch>
                                            <a:fillRect/>
                                          </a:stretch>
                                        </pic:blipFill>
                                        <pic:spPr bwMode="auto">
                                          <a:xfrm>
                                            <a:off x="0" y="0"/>
                                            <a:ext cx="3279775" cy="2924175"/>
                                          </a:xfrm>
                                          <a:prstGeom prst="rect">
                                            <a:avLst/>
                                          </a:prstGeom>
                                        </pic:spPr>
                                      </pic:pic>
                                    </a:graphicData>
                                  </a:graphic>
                                </wp:inline>
                              </w:drawing>
                            </w:r>
                            <w:r>
                              <w:rPr/>
                              <w:drawing>
                                <wp:inline distT="0" distB="0" distL="0" distR="0">
                                  <wp:extent cx="3279775" cy="2924175"/>
                                  <wp:effectExtent l="0" t="0" r="0" b="0"/>
                                  <wp:docPr id="25" name="Obraz 1189849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1189849819" descr=""/>
                                          <pic:cNvPicPr>
                                            <a:picLocks noChangeAspect="1" noChangeArrowheads="1"/>
                                          </pic:cNvPicPr>
                                        </pic:nvPicPr>
                                        <pic:blipFill>
                                          <a:blip r:embed="rId8"/>
                                          <a:stretch>
                                            <a:fillRect/>
                                          </a:stretch>
                                        </pic:blipFill>
                                        <pic:spPr bwMode="auto">
                                          <a:xfrm>
                                            <a:off x="0" y="0"/>
                                            <a:ext cx="3279775" cy="2924175"/>
                                          </a:xfrm>
                                          <a:prstGeom prst="rect">
                                            <a:avLst/>
                                          </a:prstGeom>
                                        </pic:spPr>
                                      </pic:pic>
                                    </a:graphicData>
                                  </a:graphic>
                                </wp:inline>
                              </w:drawing>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wps:txbx>
                      <wps:bodyPr anchor="t">
                        <a:prstTxWarp prst="textNoShape"/>
                        <a:noAutofit/>
                      </wps:bodyPr>
                    </wps:wsp>
                  </a:graphicData>
                </a:graphic>
              </wp:anchor>
            </w:drawing>
          </mc:Choice>
          <mc:Fallback>
            <w:pict>
              <v:rect id="shape_0" ID="Pole tekstowe 1" path="m0,0l-2147483645,0l-2147483645,-2147483646l0,-2147483646xe" stroked="f" o:allowincell="f" style="position:absolute;margin-left:127.5pt;margin-top:706.05pt;width:357.7pt;height:49.45pt;mso-wrap-style:square;v-text-anchor:top;mso-position-horizontal-relative:page" wp14:anchorId="1ECE8AF8">
                <v:fill o:detectmouseclick="t" on="false"/>
                <v:stroke color="#3465a4" joinstyle="round" endcap="flat"/>
                <v:textbox>
                  <w:txbxContent>
                    <w:p>
                      <w:pPr>
                        <w:pStyle w:val="Zawartoramki"/>
                        <w:spacing w:lineRule="exact" w:line="700" w:before="11000" w:after="40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16"/>
                          <w:szCs w:val="16"/>
                        </w:rPr>
                        <w:t>W</w:t>
                      </w:r>
                      <w:r>
                        <w:rPr/>
                        <w:drawing>
                          <wp:inline distT="0" distB="0" distL="0" distR="0">
                            <wp:extent cx="3279775" cy="2924175"/>
                            <wp:effectExtent l="0" t="0" r="0" b="0"/>
                            <wp:docPr id="26" name="Obraz 1301068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1301068223" descr=""/>
                                    <pic:cNvPicPr>
                                      <a:picLocks noChangeAspect="1" noChangeArrowheads="1"/>
                                    </pic:cNvPicPr>
                                  </pic:nvPicPr>
                                  <pic:blipFill>
                                    <a:blip r:embed="rId9"/>
                                    <a:stretch>
                                      <a:fillRect/>
                                    </a:stretch>
                                  </pic:blipFill>
                                  <pic:spPr bwMode="auto">
                                    <a:xfrm>
                                      <a:off x="0" y="0"/>
                                      <a:ext cx="3279775" cy="2924175"/>
                                    </a:xfrm>
                                    <a:prstGeom prst="rect">
                                      <a:avLst/>
                                    </a:prstGeom>
                                  </pic:spPr>
                                </pic:pic>
                              </a:graphicData>
                            </a:graphic>
                          </wp:inline>
                        </w:drawing>
                      </w:r>
                      <w:r>
                        <w:rPr/>
                        <w:drawing>
                          <wp:inline distT="0" distB="0" distL="0" distR="0">
                            <wp:extent cx="3279775" cy="2924175"/>
                            <wp:effectExtent l="0" t="0" r="0" b="0"/>
                            <wp:docPr id="27" name="Obraz 1629359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1629359092" descr=""/>
                                    <pic:cNvPicPr>
                                      <a:picLocks noChangeAspect="1" noChangeArrowheads="1"/>
                                    </pic:cNvPicPr>
                                  </pic:nvPicPr>
                                  <pic:blipFill>
                                    <a:blip r:embed="rId10"/>
                                    <a:stretch>
                                      <a:fillRect/>
                                    </a:stretch>
                                  </pic:blipFill>
                                  <pic:spPr bwMode="auto">
                                    <a:xfrm>
                                      <a:off x="0" y="0"/>
                                      <a:ext cx="3279775" cy="2924175"/>
                                    </a:xfrm>
                                    <a:prstGeom prst="rect">
                                      <a:avLst/>
                                    </a:prstGeom>
                                  </pic:spPr>
                                </pic:pic>
                              </a:graphicData>
                            </a:graphic>
                          </wp:inline>
                        </w:drawing>
                      </w:r>
                      <w:r>
                        <w:rPr/>
                        <w:drawing>
                          <wp:inline distT="0" distB="0" distL="0" distR="0">
                            <wp:extent cx="3279775" cy="2924175"/>
                            <wp:effectExtent l="0" t="0" r="0" b="0"/>
                            <wp:docPr id="28" name="Obraz 1189849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1189849819" descr=""/>
                                    <pic:cNvPicPr>
                                      <a:picLocks noChangeAspect="1" noChangeArrowheads="1"/>
                                    </pic:cNvPicPr>
                                  </pic:nvPicPr>
                                  <pic:blipFill>
                                    <a:blip r:embed="rId11"/>
                                    <a:stretch>
                                      <a:fillRect/>
                                    </a:stretch>
                                  </pic:blipFill>
                                  <pic:spPr bwMode="auto">
                                    <a:xfrm>
                                      <a:off x="0" y="0"/>
                                      <a:ext cx="3279775" cy="2924175"/>
                                    </a:xfrm>
                                    <a:prstGeom prst="rect">
                                      <a:avLst/>
                                    </a:prstGeom>
                                  </pic:spPr>
                                </pic:pic>
                              </a:graphicData>
                            </a:graphic>
                          </wp:inline>
                        </w:drawing>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v:textbox>
                <w10:wrap type="none"/>
              </v:rect>
            </w:pict>
          </mc:Fallback>
        </mc:AlternateContent>
      </w:r>
    </w:p>
    <w:sdt>
      <w:sdtPr>
        <w:docPartObj>
          <w:docPartGallery w:val="Table of Contents"/>
          <w:docPartUnique w:val="true"/>
        </w:docPartObj>
      </w:sdtPr>
      <w:sdtContent>
        <w:p>
          <w:pPr>
            <w:pStyle w:val="Nagwekspisutreci"/>
            <w:numPr>
              <w:ilvl w:val="0"/>
              <w:numId w:val="0"/>
            </w:numPr>
            <w:ind w:left="785" w:hanging="0"/>
            <w:rPr>
              <w:b w:val="false"/>
              <w:bCs w:val="false"/>
            </w:rPr>
          </w:pPr>
          <w:bookmarkStart w:id="0" w:name="_Hlk115962238"/>
          <w:r>
            <w:rPr>
              <w:b w:val="false"/>
              <w:bCs w:val="false"/>
            </w:rPr>
            <w:t>Spis treści</w:t>
          </w:r>
        </w:p>
        <w:p>
          <w:pPr>
            <w:pStyle w:val="Spistreci1"/>
            <w:tabs>
              <w:tab w:val="clear" w:pos="680"/>
              <w:tab w:val="left" w:pos="720" w:leader="none"/>
              <w:tab w:val="right" w:pos="9060" w:leader="dot"/>
            </w:tabs>
            <w:rPr>
              <w:rFonts w:cs="" w:cstheme="minorBidi"/>
              <w:color w:val="auto"/>
              <w:kern w:val="2"/>
              <w14:ligatures w14:val="standardContextual"/>
            </w:rPr>
          </w:pPr>
          <w:r>
            <w:fldChar w:fldCharType="begin"/>
          </w:r>
          <w:r>
            <w:rPr>
              <w:webHidden/>
              <w:rStyle w:val="Czeindeksu"/>
            </w:rPr>
            <w:instrText xml:space="preserve"> TOC \z \o "1-3" \u \h</w:instrText>
          </w:r>
          <w:r>
            <w:rPr>
              <w:webHidden/>
              <w:rStyle w:val="Czeindeksu"/>
            </w:rPr>
            <w:fldChar w:fldCharType="separate"/>
          </w:r>
          <w:hyperlink w:anchor="_Toc143161884">
            <w:r>
              <w:rPr>
                <w:webHidden/>
                <w:rStyle w:val="Czeindeksu"/>
              </w:rPr>
              <w:t>1.</w:t>
            </w:r>
            <w:r>
              <w:rPr>
                <w:rStyle w:val="Czeindeksu"/>
                <w:rFonts w:cs="" w:cstheme="minorBidi"/>
                <w:color w:val="auto"/>
                <w:kern w:val="2"/>
                <w14:ligatures w14:val="standardContextual"/>
              </w:rPr>
              <w:tab/>
            </w:r>
            <w:r>
              <w:rPr>
                <w:rStyle w:val="Czeindeksu"/>
              </w:rPr>
              <w:t>Wstęp</w:t>
            </w:r>
            <w:r>
              <w:rPr>
                <w:webHidden/>
              </w:rPr>
              <w:fldChar w:fldCharType="begin"/>
            </w:r>
            <w:r>
              <w:rPr>
                <w:webHidden/>
              </w:rPr>
              <w:instrText xml:space="preserve">PAGEREF _Toc143161884 \h</w:instrText>
            </w:r>
            <w:r>
              <w:rPr>
                <w:webHidden/>
              </w:rPr>
              <w:fldChar w:fldCharType="separate"/>
            </w:r>
            <w:r>
              <w:rPr>
                <w:rStyle w:val="Czeindeksu"/>
                <w:vanish w:val="false"/>
              </w:rPr>
              <w:tab/>
              <w:t>4</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885">
            <w:r>
              <w:rPr>
                <w:webHidden/>
                <w:rStyle w:val="Czeindeksu"/>
              </w:rPr>
              <w:t>2.</w:t>
            </w:r>
            <w:r>
              <w:rPr>
                <w:rStyle w:val="Czeindeksu"/>
                <w:rFonts w:cs="" w:cstheme="minorBidi"/>
                <w:color w:val="auto"/>
                <w:kern w:val="2"/>
                <w14:ligatures w14:val="standardContextual"/>
              </w:rPr>
              <w:tab/>
            </w:r>
            <w:r>
              <w:rPr>
                <w:rStyle w:val="Czeindeksu"/>
              </w:rPr>
              <w:t>Synteza diagnozy wraz z analizą problemów, potrzeb i potencjałów rozwojowych, w tym wzajemnych powiązań gospodarczych, społecznych i środowiskowych</w:t>
            </w:r>
            <w:r>
              <w:rPr>
                <w:webHidden/>
              </w:rPr>
              <w:fldChar w:fldCharType="begin"/>
            </w:r>
            <w:r>
              <w:rPr>
                <w:webHidden/>
              </w:rPr>
              <w:instrText xml:space="preserve">PAGEREF _Toc143161885 \h</w:instrText>
            </w:r>
            <w:r>
              <w:rPr>
                <w:webHidden/>
              </w:rPr>
              <w:fldChar w:fldCharType="separate"/>
            </w:r>
            <w:r>
              <w:rPr>
                <w:rStyle w:val="Czeindeksu"/>
                <w:vanish w:val="false"/>
              </w:rPr>
              <w:tab/>
              <w:t>5</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888">
            <w:r>
              <w:rPr>
                <w:webHidden/>
                <w:rStyle w:val="Czeindeksu"/>
              </w:rPr>
              <w:t>2.1</w:t>
            </w:r>
            <w:r>
              <w:rPr>
                <w:rStyle w:val="Czeindeksu"/>
                <w:rFonts w:cs="" w:cstheme="minorBidi"/>
                <w:color w:val="auto"/>
                <w:kern w:val="2"/>
                <w14:ligatures w14:val="standardContextual"/>
              </w:rPr>
              <w:tab/>
            </w:r>
            <w:r>
              <w:rPr>
                <w:rStyle w:val="Czeindeksu"/>
              </w:rPr>
              <w:t>Zasięg przestrzenny i sieć osadnicza</w:t>
            </w:r>
            <w:r>
              <w:rPr>
                <w:webHidden/>
              </w:rPr>
              <w:fldChar w:fldCharType="begin"/>
            </w:r>
            <w:r>
              <w:rPr>
                <w:webHidden/>
              </w:rPr>
              <w:instrText xml:space="preserve">PAGEREF _Toc143161888 \h</w:instrText>
            </w:r>
            <w:r>
              <w:rPr>
                <w:webHidden/>
              </w:rPr>
              <w:fldChar w:fldCharType="separate"/>
            </w:r>
            <w:r>
              <w:rPr>
                <w:rStyle w:val="Czeindeksu"/>
                <w:vanish w:val="false"/>
              </w:rPr>
              <w:tab/>
              <w:t>5</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889">
            <w:r>
              <w:rPr>
                <w:webHidden/>
                <w:rStyle w:val="Czeindeksu"/>
              </w:rPr>
              <w:t>2.2</w:t>
            </w:r>
            <w:r>
              <w:rPr>
                <w:rStyle w:val="Czeindeksu"/>
                <w:rFonts w:cs="" w:cstheme="minorBidi"/>
                <w:color w:val="auto"/>
                <w:kern w:val="2"/>
                <w14:ligatures w14:val="standardContextual"/>
              </w:rPr>
              <w:tab/>
            </w:r>
            <w:r>
              <w:rPr>
                <w:rStyle w:val="Czeindeksu"/>
              </w:rPr>
              <w:t>Informacje fizycznogeograficzne. Ochrona przyrody</w:t>
            </w:r>
            <w:r>
              <w:rPr>
                <w:webHidden/>
              </w:rPr>
              <w:fldChar w:fldCharType="begin"/>
            </w:r>
            <w:r>
              <w:rPr>
                <w:webHidden/>
              </w:rPr>
              <w:instrText xml:space="preserve">PAGEREF _Toc143161889 \h</w:instrText>
            </w:r>
            <w:r>
              <w:rPr>
                <w:webHidden/>
              </w:rPr>
              <w:fldChar w:fldCharType="separate"/>
            </w:r>
            <w:r>
              <w:rPr>
                <w:rStyle w:val="Czeindeksu"/>
                <w:vanish w:val="false"/>
              </w:rPr>
              <w:tab/>
              <w:t>8</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0">
            <w:r>
              <w:rPr>
                <w:webHidden/>
                <w:rStyle w:val="Czeindeksu"/>
              </w:rPr>
              <w:t>2.3. Turystyka</w:t>
            </w:r>
            <w:r>
              <w:rPr>
                <w:webHidden/>
              </w:rPr>
              <w:fldChar w:fldCharType="begin"/>
            </w:r>
            <w:r>
              <w:rPr>
                <w:webHidden/>
              </w:rPr>
              <w:instrText xml:space="preserve">PAGEREF _Toc143161890 \h</w:instrText>
            </w:r>
            <w:r>
              <w:rPr>
                <w:webHidden/>
              </w:rPr>
              <w:fldChar w:fldCharType="separate"/>
            </w:r>
            <w:r>
              <w:rPr>
                <w:rStyle w:val="Czeindeksu"/>
                <w:vanish w:val="false"/>
              </w:rPr>
              <w:tab/>
              <w:t>9</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1">
            <w:r>
              <w:rPr>
                <w:webHidden/>
                <w:rStyle w:val="Czeindeksu"/>
              </w:rPr>
              <w:t>2.4. Transport</w:t>
            </w:r>
            <w:r>
              <w:rPr>
                <w:webHidden/>
              </w:rPr>
              <w:fldChar w:fldCharType="begin"/>
            </w:r>
            <w:r>
              <w:rPr>
                <w:webHidden/>
              </w:rPr>
              <w:instrText xml:space="preserve">PAGEREF _Toc143161891 \h</w:instrText>
            </w:r>
            <w:r>
              <w:rPr>
                <w:webHidden/>
              </w:rPr>
              <w:fldChar w:fldCharType="separate"/>
            </w:r>
            <w:r>
              <w:rPr>
                <w:rStyle w:val="Czeindeksu"/>
                <w:vanish w:val="false"/>
              </w:rPr>
              <w:tab/>
              <w:t>11</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2">
            <w:r>
              <w:rPr>
                <w:webHidden/>
                <w:rStyle w:val="Czeindeksu"/>
              </w:rPr>
              <w:t>2.4.1. Sieć transportowa</w:t>
            </w:r>
            <w:r>
              <w:rPr>
                <w:webHidden/>
              </w:rPr>
              <w:fldChar w:fldCharType="begin"/>
            </w:r>
            <w:r>
              <w:rPr>
                <w:webHidden/>
              </w:rPr>
              <w:instrText xml:space="preserve">PAGEREF _Toc143161892 \h</w:instrText>
            </w:r>
            <w:r>
              <w:rPr>
                <w:webHidden/>
              </w:rPr>
              <w:fldChar w:fldCharType="separate"/>
            </w:r>
            <w:r>
              <w:rPr>
                <w:rStyle w:val="Czeindeksu"/>
                <w:vanish w:val="false"/>
              </w:rPr>
              <w:tab/>
              <w:t>11</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3">
            <w:r>
              <w:rPr>
                <w:webHidden/>
                <w:rStyle w:val="Czeindeksu"/>
              </w:rPr>
              <w:t>2.4.2. Ogólna charakterystyka najważniejszych potencjałów, potrzeb i problemów</w:t>
            </w:r>
            <w:r>
              <w:rPr>
                <w:webHidden/>
              </w:rPr>
              <w:fldChar w:fldCharType="begin"/>
            </w:r>
            <w:r>
              <w:rPr>
                <w:webHidden/>
              </w:rPr>
              <w:instrText xml:space="preserve">PAGEREF _Toc143161893 \h</w:instrText>
            </w:r>
            <w:r>
              <w:rPr>
                <w:webHidden/>
              </w:rPr>
              <w:fldChar w:fldCharType="separate"/>
            </w:r>
            <w:r>
              <w:rPr>
                <w:rStyle w:val="Czeindeksu"/>
                <w:vanish w:val="false"/>
              </w:rPr>
              <w:tab/>
              <w:t>15</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4">
            <w:r>
              <w:rPr>
                <w:webHidden/>
                <w:rStyle w:val="Czeindeksu"/>
                <w:rFonts w:eastAsia="Times New Roman"/>
              </w:rPr>
              <w:t>2.4.3. Drogi rowerowe</w:t>
            </w:r>
            <w:r>
              <w:rPr>
                <w:webHidden/>
              </w:rPr>
              <w:fldChar w:fldCharType="begin"/>
            </w:r>
            <w:r>
              <w:rPr>
                <w:webHidden/>
              </w:rPr>
              <w:instrText xml:space="preserve">PAGEREF _Toc143161894 \h</w:instrText>
            </w:r>
            <w:r>
              <w:rPr>
                <w:webHidden/>
              </w:rPr>
              <w:fldChar w:fldCharType="separate"/>
            </w:r>
            <w:r>
              <w:rPr>
                <w:rStyle w:val="Czeindeksu"/>
                <w:vanish w:val="false"/>
              </w:rPr>
              <w:tab/>
              <w:t>18</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5">
            <w:r>
              <w:rPr>
                <w:webHidden/>
                <w:rStyle w:val="Czeindeksu"/>
              </w:rPr>
              <w:t>2.4.4. Najważniejsze wnioski wynikające z Planu Zrównoważonej Mobilności Miejskiej (SUMP)</w:t>
            </w:r>
            <w:r>
              <w:rPr>
                <w:webHidden/>
              </w:rPr>
              <w:fldChar w:fldCharType="begin"/>
            </w:r>
            <w:r>
              <w:rPr>
                <w:webHidden/>
              </w:rPr>
              <w:instrText xml:space="preserve">PAGEREF _Toc143161895 \h</w:instrText>
            </w:r>
            <w:r>
              <w:rPr>
                <w:webHidden/>
              </w:rPr>
              <w:fldChar w:fldCharType="separate"/>
            </w:r>
            <w:r>
              <w:rPr>
                <w:rStyle w:val="Czeindeksu"/>
                <w:vanish w:val="false"/>
              </w:rPr>
              <w:tab/>
              <w:t>19</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6">
            <w:r>
              <w:rPr>
                <w:webHidden/>
                <w:rStyle w:val="Czeindeksu"/>
                <w:rFonts w:eastAsia="Times New Roman"/>
              </w:rPr>
              <w:t>2.5. Demografia</w:t>
            </w:r>
            <w:r>
              <w:rPr>
                <w:webHidden/>
              </w:rPr>
              <w:fldChar w:fldCharType="begin"/>
            </w:r>
            <w:r>
              <w:rPr>
                <w:webHidden/>
              </w:rPr>
              <w:instrText xml:space="preserve">PAGEREF _Toc143161896 \h</w:instrText>
            </w:r>
            <w:r>
              <w:rPr>
                <w:webHidden/>
              </w:rPr>
              <w:fldChar w:fldCharType="separate"/>
            </w:r>
            <w:r>
              <w:rPr>
                <w:rStyle w:val="Czeindeksu"/>
                <w:vanish w:val="false"/>
              </w:rPr>
              <w:tab/>
              <w:t>28</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7">
            <w:r>
              <w:rPr>
                <w:webHidden/>
                <w:rStyle w:val="Czeindeksu"/>
              </w:rPr>
              <w:t>2.6. Przedsiębiorczość</w:t>
            </w:r>
            <w:r>
              <w:rPr>
                <w:webHidden/>
              </w:rPr>
              <w:fldChar w:fldCharType="begin"/>
            </w:r>
            <w:r>
              <w:rPr>
                <w:webHidden/>
              </w:rPr>
              <w:instrText xml:space="preserve">PAGEREF _Toc143161897 \h</w:instrText>
            </w:r>
            <w:r>
              <w:rPr>
                <w:webHidden/>
              </w:rPr>
              <w:fldChar w:fldCharType="separate"/>
            </w:r>
            <w:r>
              <w:rPr>
                <w:rStyle w:val="Czeindeksu"/>
                <w:vanish w:val="false"/>
              </w:rPr>
              <w:tab/>
              <w:t>31</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8">
            <w:r>
              <w:rPr>
                <w:webHidden/>
                <w:rStyle w:val="Czeindeksu"/>
              </w:rPr>
              <w:t>2.7. Bezrobocie rejestrowane</w:t>
            </w:r>
            <w:r>
              <w:rPr>
                <w:webHidden/>
              </w:rPr>
              <w:fldChar w:fldCharType="begin"/>
            </w:r>
            <w:r>
              <w:rPr>
                <w:webHidden/>
              </w:rPr>
              <w:instrText xml:space="preserve">PAGEREF _Toc143161898 \h</w:instrText>
            </w:r>
            <w:r>
              <w:rPr>
                <w:webHidden/>
              </w:rPr>
              <w:fldChar w:fldCharType="separate"/>
            </w:r>
            <w:r>
              <w:rPr>
                <w:rStyle w:val="Czeindeksu"/>
                <w:vanish w:val="false"/>
              </w:rPr>
              <w:tab/>
              <w:t>35</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899">
            <w:r>
              <w:rPr>
                <w:webHidden/>
                <w:rStyle w:val="Czeindeksu"/>
              </w:rPr>
              <w:t>2.8. Pomoc społeczna i świadczenia na rzecz rodziny</w:t>
            </w:r>
            <w:r>
              <w:rPr>
                <w:webHidden/>
              </w:rPr>
              <w:fldChar w:fldCharType="begin"/>
            </w:r>
            <w:r>
              <w:rPr>
                <w:webHidden/>
              </w:rPr>
              <w:instrText xml:space="preserve">PAGEREF _Toc143161899 \h</w:instrText>
            </w:r>
            <w:r>
              <w:rPr>
                <w:webHidden/>
              </w:rPr>
              <w:fldChar w:fldCharType="separate"/>
            </w:r>
            <w:r>
              <w:rPr>
                <w:rStyle w:val="Czeindeksu"/>
                <w:vanish w:val="false"/>
              </w:rPr>
              <w:tab/>
              <w:t>36</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0">
            <w:r>
              <w:rPr>
                <w:webHidden/>
                <w:rStyle w:val="Czeindeksu"/>
                <w:rFonts w:eastAsia="MS Mincho"/>
              </w:rPr>
              <w:t>2.9. Opieka zdrowotna</w:t>
            </w:r>
            <w:r>
              <w:rPr>
                <w:webHidden/>
              </w:rPr>
              <w:fldChar w:fldCharType="begin"/>
            </w:r>
            <w:r>
              <w:rPr>
                <w:webHidden/>
              </w:rPr>
              <w:instrText xml:space="preserve">PAGEREF _Toc143161900 \h</w:instrText>
            </w:r>
            <w:r>
              <w:rPr>
                <w:webHidden/>
              </w:rPr>
              <w:fldChar w:fldCharType="separate"/>
            </w:r>
            <w:r>
              <w:rPr>
                <w:rStyle w:val="Czeindeksu"/>
                <w:vanish w:val="false"/>
              </w:rPr>
              <w:tab/>
              <w:t>38</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1">
            <w:r>
              <w:rPr>
                <w:webHidden/>
                <w:rStyle w:val="Czeindeksu"/>
              </w:rPr>
              <w:t>2.10. Opieka żłobkowa</w:t>
            </w:r>
            <w:r>
              <w:rPr>
                <w:webHidden/>
              </w:rPr>
              <w:fldChar w:fldCharType="begin"/>
            </w:r>
            <w:r>
              <w:rPr>
                <w:webHidden/>
              </w:rPr>
              <w:instrText xml:space="preserve">PAGEREF _Toc143161901 \h</w:instrText>
            </w:r>
            <w:r>
              <w:rPr>
                <w:webHidden/>
              </w:rPr>
              <w:fldChar w:fldCharType="separate"/>
            </w:r>
            <w:r>
              <w:rPr>
                <w:rStyle w:val="Czeindeksu"/>
                <w:vanish w:val="false"/>
              </w:rPr>
              <w:tab/>
              <w:t>41</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2">
            <w:r>
              <w:rPr>
                <w:webHidden/>
                <w:rStyle w:val="Czeindeksu"/>
              </w:rPr>
              <w:t>2.11. Wychowanie przedszkolne (w tym identyfikacja gmin spełniających warunek dostępowy wsparcia w zakresie infrastruktury wychowania przedszkolnego)</w:t>
            </w:r>
            <w:r>
              <w:rPr>
                <w:webHidden/>
              </w:rPr>
              <w:fldChar w:fldCharType="begin"/>
            </w:r>
            <w:r>
              <w:rPr>
                <w:webHidden/>
              </w:rPr>
              <w:instrText xml:space="preserve">PAGEREF _Toc143161902 \h</w:instrText>
            </w:r>
            <w:r>
              <w:rPr>
                <w:webHidden/>
              </w:rPr>
              <w:fldChar w:fldCharType="separate"/>
            </w:r>
            <w:r>
              <w:rPr>
                <w:rStyle w:val="Czeindeksu"/>
                <w:vanish w:val="false"/>
              </w:rPr>
              <w:tab/>
              <w:t>42</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3">
            <w:r>
              <w:rPr>
                <w:webHidden/>
                <w:rStyle w:val="Czeindeksu"/>
              </w:rPr>
              <w:t>2.12. Kształcenie ogólne (w tym identyfikacja gmin spełniających   warunek dostępowy wsparcia w zakresie infrastruktury edukacyjnej bazy sportowej)</w:t>
            </w:r>
            <w:r>
              <w:rPr>
                <w:webHidden/>
              </w:rPr>
              <w:fldChar w:fldCharType="begin"/>
            </w:r>
            <w:r>
              <w:rPr>
                <w:webHidden/>
              </w:rPr>
              <w:instrText xml:space="preserve">PAGEREF _Toc143161903 \h</w:instrText>
            </w:r>
            <w:r>
              <w:rPr>
                <w:webHidden/>
              </w:rPr>
              <w:fldChar w:fldCharType="separate"/>
            </w:r>
            <w:r>
              <w:rPr>
                <w:rStyle w:val="Czeindeksu"/>
                <w:vanish w:val="false"/>
              </w:rPr>
              <w:tab/>
              <w:t>44</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4">
            <w:r>
              <w:rPr>
                <w:webHidden/>
                <w:rStyle w:val="Czeindeksu"/>
              </w:rPr>
              <w:t>2.13. Szkoły podstawowe i jakość kształcenia na poziomie szkoły    podstawowej</w:t>
            </w:r>
            <w:r>
              <w:rPr>
                <w:webHidden/>
              </w:rPr>
              <w:fldChar w:fldCharType="begin"/>
            </w:r>
            <w:r>
              <w:rPr>
                <w:webHidden/>
              </w:rPr>
              <w:instrText xml:space="preserve">PAGEREF _Toc143161904 \h</w:instrText>
            </w:r>
            <w:r>
              <w:rPr>
                <w:webHidden/>
              </w:rPr>
              <w:fldChar w:fldCharType="separate"/>
            </w:r>
            <w:r>
              <w:rPr>
                <w:rStyle w:val="Czeindeksu"/>
                <w:vanish w:val="false"/>
              </w:rPr>
              <w:tab/>
              <w:t>46</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5">
            <w:r>
              <w:rPr>
                <w:webHidden/>
                <w:rStyle w:val="Czeindeksu"/>
              </w:rPr>
              <w:t>2.14. Szkoły ponadpodstawowe i jakość kształcenia na poziomie szkoły ponadpodstawowej</w:t>
            </w:r>
            <w:r>
              <w:rPr>
                <w:webHidden/>
              </w:rPr>
              <w:fldChar w:fldCharType="begin"/>
            </w:r>
            <w:r>
              <w:rPr>
                <w:webHidden/>
              </w:rPr>
              <w:instrText xml:space="preserve">PAGEREF _Toc143161905 \h</w:instrText>
            </w:r>
            <w:r>
              <w:rPr>
                <w:webHidden/>
              </w:rPr>
              <w:fldChar w:fldCharType="separate"/>
            </w:r>
            <w:r>
              <w:rPr>
                <w:rStyle w:val="Czeindeksu"/>
                <w:vanish w:val="false"/>
              </w:rPr>
              <w:tab/>
              <w:t>49</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6">
            <w:r>
              <w:rPr>
                <w:webHidden/>
                <w:rStyle w:val="Czeindeksu"/>
              </w:rPr>
              <w:t>2.14.1.  Szkoły ponadpodstawowe maturalne</w:t>
            </w:r>
            <w:r>
              <w:rPr>
                <w:webHidden/>
              </w:rPr>
              <w:fldChar w:fldCharType="begin"/>
            </w:r>
            <w:r>
              <w:rPr>
                <w:webHidden/>
              </w:rPr>
              <w:instrText xml:space="preserve">PAGEREF _Toc143161906 \h</w:instrText>
            </w:r>
            <w:r>
              <w:rPr>
                <w:webHidden/>
              </w:rPr>
              <w:fldChar w:fldCharType="separate"/>
            </w:r>
            <w:r>
              <w:rPr>
                <w:rStyle w:val="Czeindeksu"/>
                <w:vanish w:val="false"/>
              </w:rPr>
              <w:tab/>
              <w:t>50</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7">
            <w:r>
              <w:rPr>
                <w:webHidden/>
                <w:rStyle w:val="Czeindeksu"/>
              </w:rPr>
              <w:t>2.14.2.  Szkoły ponadpodstawowe zawodowe</w:t>
            </w:r>
            <w:r>
              <w:rPr>
                <w:webHidden/>
              </w:rPr>
              <w:fldChar w:fldCharType="begin"/>
            </w:r>
            <w:r>
              <w:rPr>
                <w:webHidden/>
              </w:rPr>
              <w:instrText xml:space="preserve">PAGEREF _Toc143161907 \h</w:instrText>
            </w:r>
            <w:r>
              <w:rPr>
                <w:webHidden/>
              </w:rPr>
              <w:fldChar w:fldCharType="separate"/>
            </w:r>
            <w:r>
              <w:rPr>
                <w:rStyle w:val="Czeindeksu"/>
                <w:vanish w:val="false"/>
              </w:rPr>
              <w:tab/>
              <w:t>51</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8">
            <w:r>
              <w:rPr>
                <w:webHidden/>
                <w:rStyle w:val="Czeindeksu"/>
              </w:rPr>
              <w:t>2.15. Instytucje kultury</w:t>
            </w:r>
            <w:r>
              <w:rPr>
                <w:webHidden/>
              </w:rPr>
              <w:fldChar w:fldCharType="begin"/>
            </w:r>
            <w:r>
              <w:rPr>
                <w:webHidden/>
              </w:rPr>
              <w:instrText xml:space="preserve">PAGEREF _Toc143161908 \h</w:instrText>
            </w:r>
            <w:r>
              <w:rPr>
                <w:webHidden/>
              </w:rPr>
              <w:fldChar w:fldCharType="separate"/>
            </w:r>
            <w:r>
              <w:rPr>
                <w:rStyle w:val="Czeindeksu"/>
                <w:vanish w:val="false"/>
              </w:rPr>
              <w:tab/>
              <w:t>52</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09">
            <w:r>
              <w:rPr>
                <w:webHidden/>
                <w:rStyle w:val="Czeindeksu"/>
              </w:rPr>
              <w:t>2.16. Poziom świadomości obywatelskiej</w:t>
            </w:r>
            <w:r>
              <w:rPr>
                <w:webHidden/>
              </w:rPr>
              <w:fldChar w:fldCharType="begin"/>
            </w:r>
            <w:r>
              <w:rPr>
                <w:webHidden/>
              </w:rPr>
              <w:instrText xml:space="preserve">PAGEREF _Toc143161909 \h</w:instrText>
            </w:r>
            <w:r>
              <w:rPr>
                <w:webHidden/>
              </w:rPr>
              <w:fldChar w:fldCharType="separate"/>
            </w:r>
            <w:r>
              <w:rPr>
                <w:rStyle w:val="Czeindeksu"/>
                <w:vanish w:val="false"/>
              </w:rPr>
              <w:tab/>
              <w:t>53</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10">
            <w:r>
              <w:rPr>
                <w:webHidden/>
                <w:rStyle w:val="Czeindeksu"/>
              </w:rPr>
              <w:t>2.17.  Zasoby mieszkaniowe</w:t>
            </w:r>
            <w:r>
              <w:rPr>
                <w:webHidden/>
              </w:rPr>
              <w:fldChar w:fldCharType="begin"/>
            </w:r>
            <w:r>
              <w:rPr>
                <w:webHidden/>
              </w:rPr>
              <w:instrText xml:space="preserve">PAGEREF _Toc143161910 \h</w:instrText>
            </w:r>
            <w:r>
              <w:rPr>
                <w:webHidden/>
              </w:rPr>
              <w:fldChar w:fldCharType="separate"/>
            </w:r>
            <w:r>
              <w:rPr>
                <w:rStyle w:val="Czeindeksu"/>
                <w:vanish w:val="false"/>
              </w:rPr>
              <w:tab/>
              <w:t>54</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11">
            <w:r>
              <w:rPr>
                <w:webHidden/>
                <w:rStyle w:val="Czeindeksu"/>
                <w:rFonts w:eastAsia="MS Mincho"/>
              </w:rPr>
              <w:t>2.18. Rewitalizacja i odnowa przestrzeni publicznych</w:t>
            </w:r>
            <w:r>
              <w:rPr>
                <w:webHidden/>
              </w:rPr>
              <w:fldChar w:fldCharType="begin"/>
            </w:r>
            <w:r>
              <w:rPr>
                <w:webHidden/>
              </w:rPr>
              <w:instrText xml:space="preserve">PAGEREF _Toc143161911 \h</w:instrText>
            </w:r>
            <w:r>
              <w:rPr>
                <w:webHidden/>
              </w:rPr>
              <w:fldChar w:fldCharType="separate"/>
            </w:r>
            <w:r>
              <w:rPr>
                <w:rStyle w:val="Czeindeksu"/>
                <w:vanish w:val="false"/>
              </w:rPr>
              <w:tab/>
              <w:t>55</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12">
            <w:r>
              <w:rPr>
                <w:webHidden/>
                <w:rStyle w:val="Czeindeksu"/>
              </w:rPr>
              <w:t>2.19. Gospodarka wodno-ściekowa</w:t>
            </w:r>
            <w:r>
              <w:rPr>
                <w:webHidden/>
              </w:rPr>
              <w:fldChar w:fldCharType="begin"/>
            </w:r>
            <w:r>
              <w:rPr>
                <w:webHidden/>
              </w:rPr>
              <w:instrText xml:space="preserve">PAGEREF _Toc143161912 \h</w:instrText>
            </w:r>
            <w:r>
              <w:rPr>
                <w:webHidden/>
              </w:rPr>
              <w:fldChar w:fldCharType="separate"/>
            </w:r>
            <w:r>
              <w:rPr>
                <w:rStyle w:val="Czeindeksu"/>
                <w:vanish w:val="false"/>
              </w:rPr>
              <w:tab/>
              <w:t>56</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13">
            <w:r>
              <w:rPr>
                <w:webHidden/>
                <w:rStyle w:val="Czeindeksu"/>
              </w:rPr>
              <w:t>2.20. Poprawa efektywności energetycznej, redukcja emisji zanieczyszczeń i adaptacja do zmian klimatu</w:t>
            </w:r>
            <w:r>
              <w:rPr>
                <w:webHidden/>
              </w:rPr>
              <w:fldChar w:fldCharType="begin"/>
            </w:r>
            <w:r>
              <w:rPr>
                <w:webHidden/>
              </w:rPr>
              <w:instrText xml:space="preserve">PAGEREF _Toc143161913 \h</w:instrText>
            </w:r>
            <w:r>
              <w:rPr>
                <w:webHidden/>
              </w:rPr>
              <w:fldChar w:fldCharType="separate"/>
            </w:r>
            <w:r>
              <w:rPr>
                <w:rStyle w:val="Czeindeksu"/>
                <w:vanish w:val="false"/>
              </w:rPr>
              <w:tab/>
              <w:t>57</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14">
            <w:r>
              <w:rPr>
                <w:webHidden/>
                <w:rStyle w:val="Czeindeksu"/>
              </w:rPr>
              <w:t>2.21. Najważniejsze wnioski wynikające z Planu Adaptacji Miasta Włocławka do zmian klimatu do roku 2030</w:t>
            </w:r>
            <w:r>
              <w:rPr>
                <w:webHidden/>
              </w:rPr>
              <w:fldChar w:fldCharType="begin"/>
            </w:r>
            <w:r>
              <w:rPr>
                <w:webHidden/>
              </w:rPr>
              <w:instrText xml:space="preserve">PAGEREF _Toc143161914 \h</w:instrText>
            </w:r>
            <w:r>
              <w:rPr>
                <w:webHidden/>
              </w:rPr>
              <w:fldChar w:fldCharType="separate"/>
            </w:r>
            <w:r>
              <w:rPr>
                <w:rStyle w:val="Czeindeksu"/>
                <w:vanish w:val="false"/>
              </w:rPr>
              <w:tab/>
              <w:t>60</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15">
            <w:r>
              <w:rPr>
                <w:webHidden/>
                <w:rStyle w:val="Czeindeksu"/>
                <w:rFonts w:eastAsia="Times New Roman"/>
              </w:rPr>
              <w:t>2.22.  Analiza potrzeb w zakresie wsparcia administracyjnego</w:t>
            </w:r>
            <w:r>
              <w:rPr>
                <w:webHidden/>
              </w:rPr>
              <w:fldChar w:fldCharType="begin"/>
            </w:r>
            <w:r>
              <w:rPr>
                <w:webHidden/>
              </w:rPr>
              <w:instrText xml:space="preserve">PAGEREF _Toc143161915 \h</w:instrText>
            </w:r>
            <w:r>
              <w:rPr>
                <w:webHidden/>
              </w:rPr>
              <w:fldChar w:fldCharType="separate"/>
            </w:r>
            <w:r>
              <w:rPr>
                <w:rStyle w:val="Czeindeksu"/>
                <w:vanish w:val="false"/>
              </w:rPr>
              <w:tab/>
              <w:t>64</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16">
            <w:r>
              <w:rPr>
                <w:webHidden/>
                <w:rStyle w:val="Czeindeksu"/>
              </w:rPr>
              <w:t>2.23. Podsumowanie (identyfikacja najważniejszych problemów/ potrzeb rozwojowych obszaru, jako podstawy programowania interwencji w ramach Polityki Terytorialnej Województwa Kujawsko-Pomorskiego)</w:t>
            </w:r>
            <w:r>
              <w:rPr>
                <w:webHidden/>
              </w:rPr>
              <w:fldChar w:fldCharType="begin"/>
            </w:r>
            <w:r>
              <w:rPr>
                <w:webHidden/>
              </w:rPr>
              <w:instrText xml:space="preserve">PAGEREF _Toc143161916 \h</w:instrText>
            </w:r>
            <w:r>
              <w:rPr>
                <w:webHidden/>
              </w:rPr>
              <w:fldChar w:fldCharType="separate"/>
            </w:r>
            <w:r>
              <w:rPr>
                <w:rStyle w:val="Czeindeksu"/>
                <w:vanish w:val="false"/>
              </w:rPr>
              <w:tab/>
              <w:t>65</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17">
            <w:r>
              <w:rPr>
                <w:webHidden/>
                <w:rStyle w:val="Czeindeksu"/>
              </w:rPr>
              <w:t>3.</w:t>
            </w:r>
            <w:r>
              <w:rPr>
                <w:rStyle w:val="Czeindeksu"/>
                <w:rFonts w:cs="" w:cstheme="minorBidi"/>
                <w:color w:val="auto"/>
                <w:kern w:val="2"/>
                <w14:ligatures w14:val="standardContextual"/>
              </w:rPr>
              <w:tab/>
            </w:r>
            <w:r>
              <w:rPr>
                <w:rStyle w:val="Czeindeksu"/>
              </w:rPr>
              <w:t>Identyfikacja obszarów charakteryzujących się trudną sytuacją społeczno-gospodarczą, tj. wykazujących negatywną sytuację społeczno-gospodarczą,gmin zagrożonych trwałą marginalizacją i miast średnich tracących funkcje społeczno -gospodarcze</w:t>
            </w:r>
            <w:r>
              <w:rPr>
                <w:webHidden/>
              </w:rPr>
              <w:fldChar w:fldCharType="begin"/>
            </w:r>
            <w:r>
              <w:rPr>
                <w:webHidden/>
              </w:rPr>
              <w:instrText xml:space="preserve">PAGEREF _Toc143161917 \h</w:instrText>
            </w:r>
            <w:r>
              <w:rPr>
                <w:webHidden/>
              </w:rPr>
              <w:fldChar w:fldCharType="separate"/>
            </w:r>
            <w:r>
              <w:rPr>
                <w:rStyle w:val="Czeindeksu"/>
                <w:vanish w:val="false"/>
              </w:rPr>
              <w:tab/>
              <w:t>66</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18">
            <w:r>
              <w:rPr>
                <w:webHidden/>
                <w:rStyle w:val="Czeindeksu"/>
              </w:rPr>
              <w:t>4.</w:t>
            </w:r>
            <w:r>
              <w:rPr>
                <w:rStyle w:val="Czeindeksu"/>
                <w:rFonts w:cs="" w:cstheme="minorBidi"/>
                <w:color w:val="auto"/>
                <w:kern w:val="2"/>
                <w14:ligatures w14:val="standardContextual"/>
              </w:rPr>
              <w:tab/>
            </w:r>
            <w:r>
              <w:rPr>
                <w:rStyle w:val="Czeindeksu"/>
              </w:rPr>
              <w:t>Wizja rozwoju obszaru – oczekiwany wynik realizacji działań planowanych w ramach Polityki Terytorialnej</w:t>
            </w:r>
            <w:r>
              <w:rPr>
                <w:webHidden/>
              </w:rPr>
              <w:fldChar w:fldCharType="begin"/>
            </w:r>
            <w:r>
              <w:rPr>
                <w:webHidden/>
              </w:rPr>
              <w:instrText xml:space="preserve">PAGEREF _Toc143161918 \h</w:instrText>
            </w:r>
            <w:r>
              <w:rPr>
                <w:webHidden/>
              </w:rPr>
              <w:fldChar w:fldCharType="separate"/>
            </w:r>
            <w:r>
              <w:rPr>
                <w:rStyle w:val="Czeindeksu"/>
                <w:vanish w:val="false"/>
              </w:rPr>
              <w:tab/>
              <w:t>68</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19">
            <w:r>
              <w:rPr>
                <w:webHidden/>
                <w:rStyle w:val="Czeindeksu"/>
              </w:rPr>
              <w:t>5.</w:t>
            </w:r>
            <w:r>
              <w:rPr>
                <w:rStyle w:val="Czeindeksu"/>
                <w:rFonts w:cs="" w:cstheme="minorBidi"/>
                <w:color w:val="auto"/>
                <w:kern w:val="2"/>
                <w14:ligatures w14:val="standardContextual"/>
              </w:rPr>
              <w:tab/>
            </w:r>
            <w:r>
              <w:rPr>
                <w:rStyle w:val="Czeindeksu"/>
              </w:rPr>
              <w:t>Opis wsparcia obszarów charakteryzujących się trudną sytuacją społeczno-gospodarczą</w:t>
            </w:r>
            <w:r>
              <w:rPr>
                <w:webHidden/>
              </w:rPr>
              <w:fldChar w:fldCharType="begin"/>
            </w:r>
            <w:r>
              <w:rPr>
                <w:webHidden/>
              </w:rPr>
              <w:instrText xml:space="preserve">PAGEREF _Toc143161919 \h</w:instrText>
            </w:r>
            <w:r>
              <w:rPr>
                <w:webHidden/>
              </w:rPr>
              <w:fldChar w:fldCharType="separate"/>
            </w:r>
            <w:r>
              <w:rPr>
                <w:rStyle w:val="Czeindeksu"/>
                <w:vanish w:val="false"/>
              </w:rPr>
              <w:tab/>
              <w:t>69</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0">
            <w:r>
              <w:rPr>
                <w:webHidden/>
                <w:rStyle w:val="Czeindeksu"/>
              </w:rPr>
              <w:t>6.</w:t>
            </w:r>
            <w:r>
              <w:rPr>
                <w:rStyle w:val="Czeindeksu"/>
                <w:rFonts w:cs="" w:cstheme="minorBidi"/>
                <w:color w:val="auto"/>
                <w:kern w:val="2"/>
                <w14:ligatures w14:val="standardContextual"/>
              </w:rPr>
              <w:tab/>
            </w:r>
            <w:r>
              <w:rPr>
                <w:rStyle w:val="Czeindeksu"/>
              </w:rPr>
              <w:t>Cele rozwojowe obszaru realizowane poprzez wsparcie   w ramach Polityki Terytorialnej Województwa Kujawsko-Pomorskiego</w:t>
            </w:r>
            <w:r>
              <w:rPr>
                <w:webHidden/>
              </w:rPr>
              <w:fldChar w:fldCharType="begin"/>
            </w:r>
            <w:r>
              <w:rPr>
                <w:webHidden/>
              </w:rPr>
              <w:instrText xml:space="preserve">PAGEREF _Toc143161920 \h</w:instrText>
            </w:r>
            <w:r>
              <w:rPr>
                <w:webHidden/>
              </w:rPr>
              <w:fldChar w:fldCharType="separate"/>
            </w:r>
            <w:r>
              <w:rPr>
                <w:rStyle w:val="Czeindeksu"/>
                <w:vanish w:val="false"/>
              </w:rPr>
              <w:tab/>
              <w:t>71</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1">
            <w:r>
              <w:rPr>
                <w:webHidden/>
                <w:rStyle w:val="Czeindeksu"/>
              </w:rPr>
              <w:t>6.1.</w:t>
            </w:r>
            <w:r>
              <w:rPr>
                <w:rStyle w:val="Czeindeksu"/>
                <w:rFonts w:cs="" w:cstheme="minorBidi"/>
                <w:color w:val="auto"/>
                <w:kern w:val="2"/>
                <w14:ligatures w14:val="standardContextual"/>
              </w:rPr>
              <w:tab/>
            </w:r>
            <w:r>
              <w:rPr>
                <w:rStyle w:val="Czeindeksu"/>
              </w:rPr>
              <w:t>Opis realizacji celów</w:t>
            </w:r>
            <w:r>
              <w:rPr>
                <w:webHidden/>
              </w:rPr>
              <w:fldChar w:fldCharType="begin"/>
            </w:r>
            <w:r>
              <w:rPr>
                <w:webHidden/>
              </w:rPr>
              <w:instrText xml:space="preserve">PAGEREF _Toc143161921 \h</w:instrText>
            </w:r>
            <w:r>
              <w:rPr>
                <w:webHidden/>
              </w:rPr>
              <w:fldChar w:fldCharType="separate"/>
            </w:r>
            <w:r>
              <w:rPr>
                <w:rStyle w:val="Czeindeksu"/>
                <w:vanish w:val="false"/>
              </w:rPr>
              <w:tab/>
              <w:t>71</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2">
            <w:r>
              <w:rPr>
                <w:webHidden/>
                <w:rStyle w:val="Czeindeksu"/>
              </w:rPr>
              <w:t>6.2.</w:t>
            </w:r>
            <w:r>
              <w:rPr>
                <w:rStyle w:val="Czeindeksu"/>
                <w:rFonts w:cs="" w:cstheme="minorBidi"/>
                <w:color w:val="auto"/>
                <w:kern w:val="2"/>
                <w14:ligatures w14:val="standardContextual"/>
              </w:rPr>
              <w:tab/>
            </w:r>
            <w:r>
              <w:rPr>
                <w:rStyle w:val="Czeindeksu"/>
              </w:rPr>
              <w:t>Drzewo ustaleń</w:t>
            </w:r>
            <w:r>
              <w:rPr>
                <w:webHidden/>
              </w:rPr>
              <w:fldChar w:fldCharType="begin"/>
            </w:r>
            <w:r>
              <w:rPr>
                <w:webHidden/>
              </w:rPr>
              <w:instrText xml:space="preserve">PAGEREF _Toc143161922 \h</w:instrText>
            </w:r>
            <w:r>
              <w:rPr>
                <w:webHidden/>
              </w:rPr>
              <w:fldChar w:fldCharType="separate"/>
            </w:r>
            <w:r>
              <w:rPr>
                <w:rStyle w:val="Czeindeksu"/>
                <w:vanish w:val="false"/>
              </w:rPr>
              <w:tab/>
              <w:t>74</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23">
            <w:r>
              <w:rPr>
                <w:webHidden/>
                <w:rStyle w:val="Czeindeksu"/>
              </w:rPr>
              <w:t>Tabela 14. Drzewo ustaleń</w:t>
            </w:r>
            <w:r>
              <w:rPr>
                <w:webHidden/>
              </w:rPr>
              <w:fldChar w:fldCharType="begin"/>
            </w:r>
            <w:r>
              <w:rPr>
                <w:webHidden/>
              </w:rPr>
              <w:instrText xml:space="preserve">PAGEREF _Toc143161923 \h</w:instrText>
            </w:r>
            <w:r>
              <w:rPr>
                <w:webHidden/>
              </w:rPr>
              <w:fldChar w:fldCharType="separate"/>
            </w:r>
            <w:r>
              <w:rPr>
                <w:rStyle w:val="Czeindeksu"/>
                <w:vanish w:val="false"/>
              </w:rPr>
              <w:tab/>
              <w:t>74</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4">
            <w:r>
              <w:rPr>
                <w:webHidden/>
                <w:rStyle w:val="Czeindeksu"/>
              </w:rPr>
              <w:t>7.</w:t>
            </w:r>
            <w:r>
              <w:rPr>
                <w:rStyle w:val="Czeindeksu"/>
                <w:rFonts w:cs="" w:cstheme="minorBidi"/>
                <w:color w:val="auto"/>
                <w:kern w:val="2"/>
                <w14:ligatures w14:val="standardContextual"/>
              </w:rPr>
              <w:tab/>
            </w:r>
            <w:r>
              <w:rPr>
                <w:rStyle w:val="Czeindeksu"/>
              </w:rPr>
              <w:t>Oczekiwane wskaźniki produktu i rezultatu realizacji strategii</w:t>
            </w:r>
            <w:r>
              <w:rPr>
                <w:webHidden/>
              </w:rPr>
              <w:fldChar w:fldCharType="begin"/>
            </w:r>
            <w:r>
              <w:rPr>
                <w:webHidden/>
              </w:rPr>
              <w:instrText xml:space="preserve">PAGEREF _Toc143161924 \h</w:instrText>
            </w:r>
            <w:r>
              <w:rPr>
                <w:webHidden/>
              </w:rPr>
              <w:fldChar w:fldCharType="separate"/>
            </w:r>
            <w:r>
              <w:rPr>
                <w:rStyle w:val="Czeindeksu"/>
                <w:vanish w:val="false"/>
              </w:rPr>
              <w:tab/>
              <w:t>78</w:t>
            </w:r>
            <w:r>
              <w:rPr>
                <w:webHidden/>
              </w:rPr>
              <w:fldChar w:fldCharType="end"/>
            </w:r>
          </w:hyperlink>
        </w:p>
        <w:p>
          <w:pPr>
            <w:pStyle w:val="Spistreci1"/>
            <w:tabs>
              <w:tab w:val="clear" w:pos="680"/>
              <w:tab w:val="right" w:pos="9060" w:leader="dot"/>
            </w:tabs>
            <w:rPr>
              <w:rFonts w:cs="" w:cstheme="minorBidi"/>
              <w:color w:val="auto"/>
              <w:kern w:val="2"/>
              <w14:ligatures w14:val="standardContextual"/>
            </w:rPr>
          </w:pPr>
          <w:hyperlink w:anchor="_Toc143161925">
            <w:r>
              <w:rPr>
                <w:webHidden/>
                <w:rStyle w:val="Czeindeksu"/>
              </w:rPr>
              <w:t>Tabela 15. Wskaźniki produktu</w:t>
            </w:r>
            <w:r>
              <w:rPr>
                <w:webHidden/>
              </w:rPr>
              <w:fldChar w:fldCharType="begin"/>
            </w:r>
            <w:r>
              <w:rPr>
                <w:webHidden/>
              </w:rPr>
              <w:instrText xml:space="preserve">PAGEREF _Toc143161925 \h</w:instrText>
            </w:r>
            <w:r>
              <w:rPr>
                <w:webHidden/>
              </w:rPr>
              <w:fldChar w:fldCharType="separate"/>
            </w:r>
            <w:r>
              <w:rPr>
                <w:rStyle w:val="Czeindeksu"/>
                <w:vanish w:val="false"/>
              </w:rPr>
              <w:tab/>
              <w:t>78</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6">
            <w:r>
              <w:rPr>
                <w:webHidden/>
                <w:rStyle w:val="Czeindeksu"/>
              </w:rPr>
              <w:t>8.</w:t>
            </w:r>
            <w:r>
              <w:rPr>
                <w:rStyle w:val="Czeindeksu"/>
                <w:rFonts w:cs="" w:cstheme="minorBidi"/>
                <w:color w:val="auto"/>
                <w:kern w:val="2"/>
                <w14:ligatures w14:val="standardContextual"/>
              </w:rPr>
              <w:tab/>
            </w:r>
            <w:r>
              <w:rPr>
                <w:rStyle w:val="Czeindeksu"/>
              </w:rPr>
              <w:t>Wskazanie zgodności planowanej interwencji z dokumentami programowymi (funduszami), do których zamierza  się aplikować o finansowanie wsparcia</w:t>
            </w:r>
            <w:r>
              <w:rPr>
                <w:webHidden/>
              </w:rPr>
              <w:fldChar w:fldCharType="begin"/>
            </w:r>
            <w:r>
              <w:rPr>
                <w:webHidden/>
              </w:rPr>
              <w:instrText xml:space="preserve">PAGEREF _Toc143161926 \h</w:instrText>
            </w:r>
            <w:r>
              <w:rPr>
                <w:webHidden/>
              </w:rPr>
              <w:fldChar w:fldCharType="separate"/>
            </w:r>
            <w:r>
              <w:rPr>
                <w:rStyle w:val="Czeindeksu"/>
                <w:vanish w:val="false"/>
              </w:rPr>
              <w:tab/>
              <w:t>84</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7">
            <w:r>
              <w:rPr>
                <w:webHidden/>
                <w:rStyle w:val="Czeindeksu"/>
              </w:rPr>
              <w:t>9.</w:t>
            </w:r>
            <w:r>
              <w:rPr>
                <w:rStyle w:val="Czeindeksu"/>
                <w:rFonts w:cs="" w:cstheme="minorBidi"/>
                <w:color w:val="auto"/>
                <w:kern w:val="2"/>
                <w14:ligatures w14:val="standardContextual"/>
              </w:rPr>
              <w:tab/>
            </w:r>
            <w:r>
              <w:rPr>
                <w:rStyle w:val="Czeindeksu"/>
              </w:rPr>
              <w:t>Lista projektów podstawowych (wraz z informacją na temat sposobu ich wyboru oraz powiązania z innymi projektami)</w:t>
            </w:r>
            <w:r>
              <w:rPr>
                <w:webHidden/>
              </w:rPr>
              <w:fldChar w:fldCharType="begin"/>
            </w:r>
            <w:r>
              <w:rPr>
                <w:webHidden/>
              </w:rPr>
              <w:instrText xml:space="preserve">PAGEREF _Toc143161927 \h</w:instrText>
            </w:r>
            <w:r>
              <w:rPr>
                <w:webHidden/>
              </w:rPr>
              <w:fldChar w:fldCharType="separate"/>
            </w:r>
            <w:r>
              <w:rPr>
                <w:rStyle w:val="Czeindeksu"/>
                <w:vanish w:val="false"/>
              </w:rPr>
              <w:tab/>
              <w:t>104</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8">
            <w:r>
              <w:rPr>
                <w:webHidden/>
                <w:rStyle w:val="Czeindeksu"/>
              </w:rPr>
              <w:t>9.1.</w:t>
            </w:r>
            <w:r>
              <w:rPr>
                <w:rStyle w:val="Czeindeksu"/>
                <w:rFonts w:cs="" w:cstheme="minorBidi"/>
                <w:color w:val="auto"/>
                <w:kern w:val="2"/>
                <w14:ligatures w14:val="standardContextual"/>
              </w:rPr>
              <w:tab/>
            </w:r>
            <w:r>
              <w:rPr>
                <w:rStyle w:val="Czeindeksu"/>
              </w:rPr>
              <w:t>Tryb i zasady naboru projektów</w:t>
            </w:r>
            <w:r>
              <w:rPr>
                <w:webHidden/>
              </w:rPr>
              <w:fldChar w:fldCharType="begin"/>
            </w:r>
            <w:r>
              <w:rPr>
                <w:webHidden/>
              </w:rPr>
              <w:instrText xml:space="preserve">PAGEREF _Toc143161928 \h</w:instrText>
            </w:r>
            <w:r>
              <w:rPr>
                <w:webHidden/>
              </w:rPr>
              <w:fldChar w:fldCharType="separate"/>
            </w:r>
            <w:r>
              <w:rPr>
                <w:rStyle w:val="Czeindeksu"/>
                <w:vanish w:val="false"/>
              </w:rPr>
              <w:tab/>
              <w:t>104</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29">
            <w:r>
              <w:rPr>
                <w:webHidden/>
                <w:rStyle w:val="Czeindeksu"/>
              </w:rPr>
              <w:t>9.2</w:t>
            </w:r>
            <w:r>
              <w:rPr>
                <w:rStyle w:val="Czeindeksu"/>
                <w:rFonts w:cs="" w:cstheme="minorBidi"/>
                <w:color w:val="auto"/>
                <w:kern w:val="2"/>
                <w14:ligatures w14:val="standardContextual"/>
              </w:rPr>
              <w:tab/>
            </w:r>
            <w:r>
              <w:rPr>
                <w:rStyle w:val="Czeindeksu"/>
              </w:rPr>
              <w:t>Uzasadnienie wyboru projektów poprzez wykazanie zgodności projektów z potrzebami rozwojowymi danego obszaru</w:t>
            </w:r>
            <w:r>
              <w:rPr>
                <w:webHidden/>
              </w:rPr>
              <w:fldChar w:fldCharType="begin"/>
            </w:r>
            <w:r>
              <w:rPr>
                <w:webHidden/>
              </w:rPr>
              <w:instrText xml:space="preserve">PAGEREF _Toc143161929 \h</w:instrText>
            </w:r>
            <w:r>
              <w:rPr>
                <w:webHidden/>
              </w:rPr>
              <w:fldChar w:fldCharType="separate"/>
            </w:r>
            <w:r>
              <w:rPr>
                <w:rStyle w:val="Czeindeksu"/>
                <w:vanish w:val="false"/>
              </w:rPr>
              <w:tab/>
              <w:t>108</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0">
            <w:r>
              <w:rPr>
                <w:webHidden/>
                <w:rStyle w:val="Czeindeksu"/>
              </w:rPr>
              <w:t>9.3.</w:t>
            </w:r>
            <w:r>
              <w:rPr>
                <w:rStyle w:val="Czeindeksu"/>
                <w:rFonts w:cs="" w:cstheme="minorBidi"/>
                <w:color w:val="auto"/>
                <w:kern w:val="2"/>
                <w14:ligatures w14:val="standardContextual"/>
              </w:rPr>
              <w:tab/>
            </w:r>
            <w:r>
              <w:rPr>
                <w:rStyle w:val="Czeindeksu"/>
              </w:rPr>
              <w:t>Uzasadnienie wyboru projektów w oparciu o preferencje określone dla poszczególnych obszarów wsparcia</w:t>
            </w:r>
            <w:r>
              <w:rPr>
                <w:webHidden/>
              </w:rPr>
              <w:fldChar w:fldCharType="begin"/>
            </w:r>
            <w:r>
              <w:rPr>
                <w:webHidden/>
              </w:rPr>
              <w:instrText xml:space="preserve">PAGEREF _Toc143161930 \h</w:instrText>
            </w:r>
            <w:r>
              <w:rPr>
                <w:webHidden/>
              </w:rPr>
              <w:fldChar w:fldCharType="separate"/>
            </w:r>
            <w:r>
              <w:rPr>
                <w:rStyle w:val="Czeindeksu"/>
                <w:vanish w:val="false"/>
              </w:rPr>
              <w:tab/>
              <w:t>111</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1">
            <w:r>
              <w:rPr>
                <w:webHidden/>
                <w:rStyle w:val="Czeindeksu"/>
              </w:rPr>
              <w:t>9.4.</w:t>
            </w:r>
            <w:r>
              <w:rPr>
                <w:rStyle w:val="Czeindeksu"/>
                <w:rFonts w:cs="" w:cstheme="minorBidi"/>
                <w:color w:val="auto"/>
                <w:kern w:val="2"/>
                <w14:ligatures w14:val="standardContextual"/>
              </w:rPr>
              <w:tab/>
            </w:r>
            <w:r>
              <w:rPr>
                <w:rStyle w:val="Czeindeksu"/>
              </w:rPr>
              <w:t>Wykaz wybranych projektów do wsparcia wraz z ich charakterystyką</w:t>
            </w:r>
            <w:r>
              <w:rPr>
                <w:webHidden/>
              </w:rPr>
              <w:fldChar w:fldCharType="begin"/>
            </w:r>
            <w:r>
              <w:rPr>
                <w:webHidden/>
              </w:rPr>
              <w:instrText xml:space="preserve">PAGEREF _Toc143161931 \h</w:instrText>
            </w:r>
            <w:r>
              <w:rPr>
                <w:webHidden/>
              </w:rPr>
              <w:fldChar w:fldCharType="separate"/>
            </w:r>
            <w:r>
              <w:rPr>
                <w:rStyle w:val="Czeindeksu"/>
                <w:vanish w:val="false"/>
              </w:rPr>
              <w:tab/>
              <w:t>115</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2">
            <w:r>
              <w:rPr>
                <w:webHidden/>
                <w:rStyle w:val="Czeindeksu"/>
              </w:rPr>
              <w:t>9.5.</w:t>
            </w:r>
            <w:r>
              <w:rPr>
                <w:rStyle w:val="Czeindeksu"/>
                <w:rFonts w:cs="" w:cstheme="minorBidi"/>
                <w:color w:val="auto"/>
                <w:kern w:val="2"/>
                <w14:ligatures w14:val="standardContextual"/>
              </w:rPr>
              <w:tab/>
            </w:r>
            <w:r>
              <w:rPr>
                <w:rStyle w:val="Czeindeksu"/>
              </w:rPr>
              <w:t>Wskazanie podejścia zintegrowanego</w:t>
            </w:r>
            <w:r>
              <w:rPr>
                <w:webHidden/>
              </w:rPr>
              <w:fldChar w:fldCharType="begin"/>
            </w:r>
            <w:r>
              <w:rPr>
                <w:webHidden/>
              </w:rPr>
              <w:instrText xml:space="preserve">PAGEREF _Toc143161932 \h</w:instrText>
            </w:r>
            <w:r>
              <w:rPr>
                <w:webHidden/>
              </w:rPr>
              <w:fldChar w:fldCharType="separate"/>
            </w:r>
            <w:r>
              <w:rPr>
                <w:rStyle w:val="Czeindeksu"/>
                <w:vanish w:val="false"/>
              </w:rPr>
              <w:tab/>
              <w:t>149</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3">
            <w:r>
              <w:rPr>
                <w:webHidden/>
                <w:rStyle w:val="Czeindeksu"/>
              </w:rPr>
              <w:t>9.6.</w:t>
            </w:r>
            <w:r>
              <w:rPr>
                <w:rStyle w:val="Czeindeksu"/>
                <w:rFonts w:cs="" w:cstheme="minorBidi"/>
                <w:color w:val="auto"/>
                <w:kern w:val="2"/>
                <w14:ligatures w14:val="standardContextual"/>
              </w:rPr>
              <w:tab/>
            </w:r>
            <w:r>
              <w:rPr>
                <w:rStyle w:val="Czeindeksu"/>
              </w:rPr>
              <w:t>Lista projektów rezerwowych</w:t>
            </w:r>
            <w:r>
              <w:rPr>
                <w:webHidden/>
              </w:rPr>
              <w:fldChar w:fldCharType="begin"/>
            </w:r>
            <w:r>
              <w:rPr>
                <w:webHidden/>
              </w:rPr>
              <w:instrText xml:space="preserve">PAGEREF _Toc143161933 \h</w:instrText>
            </w:r>
            <w:r>
              <w:rPr>
                <w:webHidden/>
              </w:rPr>
              <w:fldChar w:fldCharType="separate"/>
            </w:r>
            <w:r>
              <w:rPr>
                <w:rStyle w:val="Czeindeksu"/>
                <w:vanish w:val="false"/>
              </w:rPr>
              <w:tab/>
              <w:t>157</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4">
            <w:r>
              <w:rPr>
                <w:webHidden/>
                <w:rStyle w:val="Czeindeksu"/>
              </w:rPr>
              <w:t>10.</w:t>
            </w:r>
            <w:r>
              <w:rPr>
                <w:rStyle w:val="Czeindeksu"/>
                <w:rFonts w:cs="" w:cstheme="minorBidi"/>
                <w:color w:val="auto"/>
                <w:kern w:val="2"/>
                <w14:ligatures w14:val="standardContextual"/>
              </w:rPr>
              <w:tab/>
            </w:r>
            <w:r>
              <w:rPr>
                <w:rStyle w:val="Czeindeksu"/>
              </w:rPr>
              <w:t>Plan wdrożeniowy dla realizacji strategii</w:t>
            </w:r>
            <w:r>
              <w:rPr>
                <w:webHidden/>
              </w:rPr>
              <w:fldChar w:fldCharType="begin"/>
            </w:r>
            <w:r>
              <w:rPr>
                <w:webHidden/>
              </w:rPr>
              <w:instrText xml:space="preserve">PAGEREF _Toc143161934 \h</w:instrText>
            </w:r>
            <w:r>
              <w:rPr>
                <w:webHidden/>
              </w:rPr>
              <w:fldChar w:fldCharType="separate"/>
            </w:r>
            <w:r>
              <w:rPr>
                <w:rStyle w:val="Czeindeksu"/>
                <w:vanish w:val="false"/>
              </w:rPr>
              <w:tab/>
              <w:t>161</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5">
            <w:r>
              <w:rPr>
                <w:webHidden/>
                <w:rStyle w:val="Czeindeksu"/>
              </w:rPr>
              <w:t>11.</w:t>
            </w:r>
            <w:r>
              <w:rPr>
                <w:rStyle w:val="Czeindeksu"/>
                <w:rFonts w:cs="" w:cstheme="minorBidi"/>
                <w:color w:val="auto"/>
                <w:kern w:val="2"/>
                <w14:ligatures w14:val="standardContextual"/>
              </w:rPr>
              <w:tab/>
            </w:r>
            <w:r>
              <w:rPr>
                <w:rStyle w:val="Czeindeksu"/>
              </w:rPr>
              <w:t>Plan finansowy wraz z określeniem źródeł finansowania projektów</w:t>
            </w:r>
            <w:r>
              <w:rPr>
                <w:webHidden/>
              </w:rPr>
              <w:fldChar w:fldCharType="begin"/>
            </w:r>
            <w:r>
              <w:rPr>
                <w:webHidden/>
              </w:rPr>
              <w:instrText xml:space="preserve">PAGEREF _Toc143161935 \h</w:instrText>
            </w:r>
            <w:r>
              <w:rPr>
                <w:webHidden/>
              </w:rPr>
              <w:fldChar w:fldCharType="separate"/>
            </w:r>
            <w:r>
              <w:rPr>
                <w:rStyle w:val="Czeindeksu"/>
                <w:vanish w:val="false"/>
              </w:rPr>
              <w:tab/>
              <w:t>165</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6">
            <w:r>
              <w:rPr>
                <w:webHidden/>
                <w:rStyle w:val="Czeindeksu"/>
              </w:rPr>
              <w:t>12.</w:t>
            </w:r>
            <w:r>
              <w:rPr>
                <w:rStyle w:val="Czeindeksu"/>
                <w:rFonts w:cs="" w:cstheme="minorBidi"/>
                <w:color w:val="auto"/>
                <w:kern w:val="2"/>
                <w14:ligatures w14:val="standardContextual"/>
              </w:rPr>
              <w:tab/>
            </w:r>
            <w:r>
              <w:rPr>
                <w:rStyle w:val="Czeindeksu"/>
              </w:rPr>
              <w:t>Warunki i procedury obowiązujące w realizacji Strategii ZIT</w:t>
            </w:r>
            <w:r>
              <w:rPr>
                <w:webHidden/>
              </w:rPr>
              <w:fldChar w:fldCharType="begin"/>
            </w:r>
            <w:r>
              <w:rPr>
                <w:webHidden/>
              </w:rPr>
              <w:instrText xml:space="preserve">PAGEREF _Toc143161936 \h</w:instrText>
            </w:r>
            <w:r>
              <w:rPr>
                <w:webHidden/>
              </w:rPr>
              <w:fldChar w:fldCharType="separate"/>
            </w:r>
            <w:r>
              <w:rPr>
                <w:rStyle w:val="Czeindeksu"/>
                <w:vanish w:val="false"/>
              </w:rPr>
              <w:tab/>
              <w:t>181</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7">
            <w:r>
              <w:rPr>
                <w:webHidden/>
                <w:rStyle w:val="Czeindeksu"/>
              </w:rPr>
              <w:t>13.</w:t>
            </w:r>
            <w:r>
              <w:rPr>
                <w:rStyle w:val="Czeindeksu"/>
                <w:rFonts w:cs="" w:cstheme="minorBidi"/>
                <w:color w:val="auto"/>
                <w:kern w:val="2"/>
                <w14:ligatures w14:val="standardContextual"/>
              </w:rPr>
              <w:tab/>
            </w:r>
            <w:r>
              <w:rPr>
                <w:rStyle w:val="Czeindeksu"/>
              </w:rPr>
              <w:t>Opis procesu zaangażowania partnerów zewnętrznych</w:t>
            </w:r>
            <w:r>
              <w:rPr>
                <w:webHidden/>
              </w:rPr>
              <w:fldChar w:fldCharType="begin"/>
            </w:r>
            <w:r>
              <w:rPr>
                <w:webHidden/>
              </w:rPr>
              <w:instrText xml:space="preserve">PAGEREF _Toc143161937 \h</w:instrText>
            </w:r>
            <w:r>
              <w:rPr>
                <w:webHidden/>
              </w:rPr>
              <w:fldChar w:fldCharType="separate"/>
            </w:r>
            <w:r>
              <w:rPr>
                <w:rStyle w:val="Czeindeksu"/>
                <w:vanish w:val="false"/>
              </w:rPr>
              <w:tab/>
              <w:t>183</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8">
            <w:r>
              <w:rPr>
                <w:webHidden/>
                <w:rStyle w:val="Czeindeksu"/>
              </w:rPr>
              <w:t>14.</w:t>
            </w:r>
            <w:r>
              <w:rPr>
                <w:rStyle w:val="Czeindeksu"/>
                <w:rFonts w:cs="" w:cstheme="minorBidi"/>
                <w:color w:val="auto"/>
                <w:kern w:val="2"/>
                <w14:ligatures w14:val="standardContextual"/>
              </w:rPr>
              <w:tab/>
            </w:r>
            <w:r>
              <w:rPr>
                <w:rStyle w:val="Czeindeksu"/>
              </w:rPr>
              <w:t>Sprawozdanie z konsultacji społecznych</w:t>
            </w:r>
            <w:r>
              <w:rPr>
                <w:webHidden/>
              </w:rPr>
              <w:fldChar w:fldCharType="begin"/>
            </w:r>
            <w:r>
              <w:rPr>
                <w:webHidden/>
              </w:rPr>
              <w:instrText xml:space="preserve">PAGEREF _Toc143161938 \h</w:instrText>
            </w:r>
            <w:r>
              <w:rPr>
                <w:webHidden/>
              </w:rPr>
              <w:fldChar w:fldCharType="separate"/>
            </w:r>
            <w:r>
              <w:rPr>
                <w:rStyle w:val="Czeindeksu"/>
                <w:vanish w:val="false"/>
              </w:rPr>
              <w:tab/>
              <w:t>188</w:t>
            </w:r>
            <w:r>
              <w:rPr>
                <w:webHidden/>
              </w:rPr>
              <w:fldChar w:fldCharType="end"/>
            </w:r>
          </w:hyperlink>
        </w:p>
        <w:p>
          <w:pPr>
            <w:pStyle w:val="Spistreci1"/>
            <w:tabs>
              <w:tab w:val="clear" w:pos="680"/>
              <w:tab w:val="left" w:pos="720" w:leader="none"/>
              <w:tab w:val="right" w:pos="9060" w:leader="dot"/>
            </w:tabs>
            <w:rPr>
              <w:rFonts w:cs="" w:cstheme="minorBidi"/>
              <w:color w:val="auto"/>
              <w:kern w:val="2"/>
              <w14:ligatures w14:val="standardContextual"/>
            </w:rPr>
          </w:pPr>
          <w:hyperlink w:anchor="_Toc143161939">
            <w:r>
              <w:rPr>
                <w:webHidden/>
                <w:rStyle w:val="Czeindeksu"/>
              </w:rPr>
              <w:t>15.</w:t>
            </w:r>
            <w:r>
              <w:rPr>
                <w:rStyle w:val="Czeindeksu"/>
                <w:rFonts w:cs="" w:cstheme="minorBidi"/>
                <w:color w:val="auto"/>
                <w:kern w:val="2"/>
                <w14:ligatures w14:val="standardContextual"/>
              </w:rPr>
              <w:tab/>
            </w:r>
            <w:r>
              <w:rPr>
                <w:rStyle w:val="Czeindeksu"/>
              </w:rPr>
              <w:t>System monitorowania strategii terytorialnej</w:t>
            </w:r>
            <w:r>
              <w:rPr>
                <w:webHidden/>
              </w:rPr>
              <w:fldChar w:fldCharType="begin"/>
            </w:r>
            <w:r>
              <w:rPr>
                <w:webHidden/>
              </w:rPr>
              <w:instrText xml:space="preserve">PAGEREF _Toc143161939 \h</w:instrText>
            </w:r>
            <w:r>
              <w:rPr>
                <w:webHidden/>
              </w:rPr>
              <w:fldChar w:fldCharType="separate"/>
            </w:r>
            <w:r>
              <w:rPr>
                <w:rStyle w:val="Czeindeksu"/>
                <w:vanish w:val="false"/>
              </w:rPr>
              <w:tab/>
              <w:t>190</w:t>
            </w:r>
            <w:r>
              <w:rPr>
                <w:webHidden/>
              </w:rPr>
              <w:fldChar w:fldCharType="end"/>
            </w:r>
          </w:hyperlink>
        </w:p>
        <w:p>
          <w:pPr>
            <w:pStyle w:val="Normal"/>
            <w:rPr/>
          </w:pPr>
          <w:r>
            <w:rPr/>
            <w:t>16.</w:t>
            <w:tab/>
            <w:t>Spis tabel, wykresów, załączników………………………………………………………………………………………185</w:t>
          </w:r>
          <w:r>
            <w:rPr/>
            <w:fldChar w:fldCharType="end"/>
          </w:r>
        </w:p>
      </w:sdtContent>
    </w:sdt>
    <w:p>
      <w:pPr>
        <w:pStyle w:val="Normal"/>
        <w:rPr/>
      </w:pPr>
      <w:r>
        <w:rPr/>
      </w:r>
    </w:p>
    <w:p>
      <w:pPr>
        <w:pStyle w:val="Nagwek1"/>
        <w:numPr>
          <w:ilvl w:val="0"/>
          <w:numId w:val="0"/>
        </w:numPr>
        <w:ind w:left="785" w:hanging="0"/>
        <w:rPr/>
      </w:pPr>
      <w:r>
        <w:rPr/>
      </w:r>
    </w:p>
    <w:p>
      <w:pPr>
        <w:pStyle w:val="Normal"/>
        <w:spacing w:lineRule="auto" w:line="276" w:before="0" w:after="200"/>
        <w:rPr>
          <w:rFonts w:eastAsia="" w:cs="" w:cstheme="majorBidi" w:eastAsiaTheme="majorEastAsia"/>
          <w:b/>
          <w:bCs/>
          <w:color w:val="10328F"/>
          <w:sz w:val="32"/>
          <w:szCs w:val="28"/>
        </w:rPr>
      </w:pPr>
      <w:r>
        <w:rPr>
          <w:rFonts w:eastAsia="" w:cs="" w:cstheme="majorBidi" w:eastAsiaTheme="majorEastAsia"/>
          <w:b/>
          <w:bCs/>
          <w:color w:val="10328F"/>
          <w:sz w:val="32"/>
          <w:szCs w:val="28"/>
        </w:rPr>
      </w:r>
      <w:r>
        <w:br w:type="page"/>
      </w:r>
    </w:p>
    <w:p>
      <w:pPr>
        <w:pStyle w:val="Nagwek1"/>
        <w:numPr>
          <w:ilvl w:val="0"/>
          <w:numId w:val="30"/>
        </w:numPr>
        <w:ind w:left="284" w:hanging="284"/>
        <w:rPr/>
      </w:pPr>
      <w:bookmarkStart w:id="1" w:name="_Toc143161884"/>
      <w:r>
        <w:rPr/>
        <w:t>Wstęp</w:t>
      </w:r>
      <w:bookmarkEnd w:id="1"/>
    </w:p>
    <w:p>
      <w:pPr>
        <w:pStyle w:val="Normal"/>
        <w:spacing w:lineRule="auto" w:line="276"/>
        <w:jc w:val="both"/>
        <w:rPr/>
      </w:pPr>
      <w:r>
        <w:rPr/>
        <w:t xml:space="preserve">Niniejszy dokument strategii terytorialnej sporządzony został w celu realizacji ZIT (Zintegrowanych Inwestycji Terytorialnych) na obszarze Miejskiego Obszaru Funkcjonalnego Włocławka (dalej MOF Włocławka), na podstawie </w:t>
      </w:r>
      <w:r>
        <w:rPr>
          <w:i/>
        </w:rPr>
        <w:t>art. 34 ustawy z dnia 28 kwietnia 2022 r. o zasadach realizacji zadań finansowanych ze środków europejskich w perspektywie finansowej 2021–2027</w:t>
      </w:r>
      <w:r>
        <w:rPr>
          <w:rStyle w:val="Zakotwiczenieprzypisudolnego"/>
          <w:rFonts w:cs="Calibri" w:cstheme="minorHAnsi"/>
          <w:i/>
        </w:rPr>
        <w:footnoteReference w:id="2"/>
      </w:r>
      <w:r>
        <w:rPr/>
        <w:t>. Zgodnie</w:t>
        <w:br/>
        <w:t xml:space="preserve"> z przytoczonym artykułem, strategia terytorialna opracowywana jest przez związek ZIT utworzony </w:t>
        <w:br/>
        <w:t>w jednej z wybranych form współpracy jednostek samorządu terytorialnego. Na obszarze MOF Włocławka zawiązane zostało Stowarzyszenie WŁOF - Zintegrowane Inwestycje Terytorialne Miejskiego Obszaru Funkcjonalnego Włocławka, którego członkami są wszystkie gminy powiatu włocławskiego, miasto na prawach powiatu Włocławek oraz powiat włocławski.</w:t>
      </w:r>
    </w:p>
    <w:p>
      <w:pPr>
        <w:pStyle w:val="Normal"/>
        <w:rPr>
          <w:rFonts w:cs="Calibri" w:cstheme="minorHAnsi"/>
        </w:rPr>
      </w:pPr>
      <w:r>
        <w:rPr>
          <w:rFonts w:cs="Calibri" w:cstheme="minorHAnsi"/>
        </w:rPr>
        <w:t>Członkowie Stowarzyszenia:</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Miasto Włocławek</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rPr>
        <w:t>Powiat Włocławski</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Miasto Kowal</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Baruchowo</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Choceń</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Boniewo</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Brześć Kujawski</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Miasto i Gmina Chodecz</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Fabianki</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Izbica Kujawska</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Kowal</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Lubanie</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Lubień Kujawski</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Lubraniec</w:t>
      </w:r>
    </w:p>
    <w:p>
      <w:pPr>
        <w:pStyle w:val="ListParagraph"/>
        <w:numPr>
          <w:ilvl w:val="0"/>
          <w:numId w:val="4"/>
        </w:numPr>
        <w:spacing w:lineRule="auto" w:line="276" w:before="0" w:after="160"/>
        <w:ind w:left="714" w:hanging="357"/>
        <w:contextualSpacing/>
        <w:rPr>
          <w:rFonts w:cs="Calibri" w:cstheme="minorHAnsi"/>
          <w:color w:val="auto"/>
        </w:rPr>
      </w:pPr>
      <w:r>
        <w:rPr>
          <w:rFonts w:cs="Calibri" w:cstheme="minorHAnsi"/>
          <w:color w:val="auto"/>
        </w:rPr>
        <w:t>Gmina Włocławek</w:t>
      </w:r>
    </w:p>
    <w:p>
      <w:pPr>
        <w:pStyle w:val="Normal"/>
        <w:spacing w:lineRule="auto" w:line="276"/>
        <w:jc w:val="both"/>
        <w:rPr/>
      </w:pPr>
      <w:r>
        <w:rPr/>
        <w:t>Dokument ten będzie narzędziem do wspólnego realizowania polityki terytorialnej, na podstawie którego możliwe będzie uzyskanie wsparcia na projekty przewidziane do realizacji na okres perspektywy finansowej 2021-2027, przy współfinansowaniu ze środków UE (z różnych funduszy).</w:t>
        <w:br/>
        <w:t xml:space="preserve"> W tym aspekcie bardzo ważnym źródłem wsparcia będą </w:t>
      </w:r>
      <w:r>
        <w:rPr>
          <w:i/>
        </w:rPr>
        <w:t>Fundusze Europejskie dla Kujaw i Pomorza 2021-2027</w:t>
      </w:r>
      <w:r>
        <w:rPr/>
        <w:t xml:space="preserve">, określające zakres i obszary wsparcia z poziomu samorządu województwa – w tym </w:t>
        <w:br/>
        <w:t xml:space="preserve">w zakresie polityki terytorialnej, która rozumiana jest jako forma podejścia do prowadzenia rozwoju województwa zakładającego różnicowanie działań wobec poszczególnych jego obszarów, uwzględniając ich rolę i znaczenie w systemie społeczno-gospodarczym województwa. Idea polityki terytorialnej w okresie programowania 2021-2027 oraz poziomy jej realizacji przedstawione zostały szerzej w </w:t>
      </w:r>
      <w:r>
        <w:rPr>
          <w:i/>
        </w:rPr>
        <w:t>Strategii rozwoju województwa kujawsko-pomorskiego do 2030 roku. Strategia Przyspieszenia 2030+</w:t>
      </w:r>
      <w:r>
        <w:rPr>
          <w:rStyle w:val="Zakotwiczenieprzypisudolnego"/>
          <w:rFonts w:cs="Calibri" w:cstheme="minorHAnsi"/>
        </w:rPr>
        <w:footnoteReference w:id="3"/>
      </w:r>
      <w:r>
        <w:rPr/>
        <w:t>.</w:t>
      </w:r>
    </w:p>
    <w:p>
      <w:pPr>
        <w:pStyle w:val="Normal"/>
        <w:rPr/>
      </w:pPr>
      <w:r>
        <w:rPr/>
      </w:r>
    </w:p>
    <w:p>
      <w:pPr>
        <w:pStyle w:val="Normal"/>
        <w:rPr/>
      </w:pPr>
      <w:r>
        <w:rPr/>
      </w:r>
    </w:p>
    <w:p>
      <w:pPr>
        <w:pStyle w:val="Nagwek1"/>
        <w:numPr>
          <w:ilvl w:val="0"/>
          <w:numId w:val="5"/>
        </w:numPr>
        <w:ind w:left="284" w:hanging="284"/>
        <w:rPr/>
      </w:pPr>
      <w:bookmarkStart w:id="2" w:name="_Toc143161885"/>
      <w:r>
        <w:rPr/>
        <w:t>Synteza diagnozy wraz z analizą problemów, potrzeb i potencjałów rozwojowych, w tym wzajemnych powiązań gospodarczych, społecznych i środowiskowych</w:t>
      </w:r>
      <w:bookmarkEnd w:id="2"/>
    </w:p>
    <w:p>
      <w:pPr>
        <w:pStyle w:val="ListParagraph"/>
        <w:keepNext w:val="true"/>
        <w:keepLines/>
        <w:numPr>
          <w:ilvl w:val="0"/>
          <w:numId w:val="5"/>
        </w:numPr>
        <w:spacing w:before="0" w:after="280"/>
        <w:outlineLvl w:val="0"/>
        <w:rPr>
          <w:rFonts w:ascii="Calibri" w:hAnsi="Calibri" w:eastAsia="" w:cs="" w:cstheme="majorBidi" w:eastAsiaTheme="majorEastAsia"/>
          <w:b/>
          <w:bCs/>
          <w:vanish/>
          <w:color w:val="10328F"/>
          <w:sz w:val="30"/>
          <w:szCs w:val="28"/>
          <w:lang w:eastAsia="pl-PL"/>
        </w:rPr>
      </w:pPr>
      <w:r>
        <w:rPr>
          <w:rFonts w:eastAsia="" w:cs="" w:cstheme="majorBidi" w:eastAsiaTheme="majorEastAsia"/>
          <w:b/>
          <w:bCs/>
          <w:vanish/>
          <w:color w:val="10328F"/>
          <w:sz w:val="30"/>
          <w:szCs w:val="28"/>
          <w:lang w:eastAsia="pl-PL"/>
        </w:rPr>
      </w:r>
      <w:bookmarkStart w:id="3" w:name="_Toc143161886"/>
      <w:bookmarkStart w:id="4" w:name="_Toc143022221"/>
      <w:bookmarkStart w:id="5" w:name="_Toc136925327"/>
      <w:bookmarkStart w:id="6" w:name="_Toc136873474"/>
      <w:bookmarkStart w:id="7" w:name="_Toc136579531"/>
      <w:bookmarkStart w:id="8" w:name="_Toc135309027"/>
      <w:bookmarkStart w:id="9" w:name="_Toc135306801"/>
      <w:bookmarkStart w:id="10" w:name="_Toc135306747"/>
      <w:bookmarkStart w:id="11" w:name="_Toc133412244"/>
      <w:bookmarkStart w:id="12" w:name="_Toc133326288"/>
      <w:bookmarkStart w:id="13" w:name="_Toc120882923"/>
      <w:bookmarkStart w:id="14" w:name="_Toc120882725"/>
      <w:bookmarkStart w:id="15" w:name="_Toc143161886"/>
      <w:bookmarkStart w:id="16" w:name="_Toc143022221"/>
      <w:bookmarkStart w:id="17" w:name="_Toc136925327"/>
      <w:bookmarkStart w:id="18" w:name="_Toc136873474"/>
      <w:bookmarkStart w:id="19" w:name="_Toc136579531"/>
      <w:bookmarkStart w:id="20" w:name="_Toc135309027"/>
      <w:bookmarkStart w:id="21" w:name="_Toc135306801"/>
      <w:bookmarkStart w:id="22" w:name="_Toc135306747"/>
      <w:bookmarkStart w:id="23" w:name="_Toc133412244"/>
      <w:bookmarkStart w:id="24" w:name="_Toc133326288"/>
      <w:bookmarkStart w:id="25" w:name="_Toc120882923"/>
      <w:bookmarkStart w:id="26" w:name="_Toc120882725"/>
      <w:bookmarkEnd w:id="15"/>
      <w:bookmarkEnd w:id="16"/>
      <w:bookmarkEnd w:id="17"/>
      <w:bookmarkEnd w:id="18"/>
      <w:bookmarkEnd w:id="19"/>
      <w:bookmarkEnd w:id="20"/>
      <w:bookmarkEnd w:id="21"/>
      <w:bookmarkEnd w:id="22"/>
      <w:bookmarkEnd w:id="23"/>
      <w:bookmarkEnd w:id="24"/>
      <w:bookmarkEnd w:id="25"/>
      <w:bookmarkEnd w:id="26"/>
    </w:p>
    <w:p>
      <w:pPr>
        <w:pStyle w:val="ListParagraph"/>
        <w:keepNext w:val="true"/>
        <w:keepLines/>
        <w:numPr>
          <w:ilvl w:val="0"/>
          <w:numId w:val="5"/>
        </w:numPr>
        <w:spacing w:before="0" w:after="280"/>
        <w:outlineLvl w:val="0"/>
        <w:rPr>
          <w:rFonts w:ascii="Calibri" w:hAnsi="Calibri" w:eastAsia="" w:cs="" w:cstheme="majorBidi" w:eastAsiaTheme="majorEastAsia"/>
          <w:b/>
          <w:bCs/>
          <w:vanish/>
          <w:color w:val="10328F"/>
          <w:sz w:val="30"/>
          <w:szCs w:val="28"/>
          <w:lang w:eastAsia="pl-PL"/>
        </w:rPr>
      </w:pPr>
      <w:r>
        <w:rPr>
          <w:rFonts w:eastAsia="" w:cs="" w:cstheme="majorBidi" w:eastAsiaTheme="majorEastAsia"/>
          <w:b/>
          <w:bCs/>
          <w:vanish/>
          <w:color w:val="10328F"/>
          <w:sz w:val="30"/>
          <w:szCs w:val="28"/>
          <w:lang w:eastAsia="pl-PL"/>
        </w:rPr>
      </w:r>
      <w:bookmarkStart w:id="27" w:name="_Toc143161887"/>
      <w:bookmarkStart w:id="28" w:name="_Toc143022222"/>
      <w:bookmarkStart w:id="29" w:name="_Toc136925328"/>
      <w:bookmarkStart w:id="30" w:name="_Toc136873475"/>
      <w:bookmarkStart w:id="31" w:name="_Toc136579532"/>
      <w:bookmarkStart w:id="32" w:name="_Toc135309028"/>
      <w:bookmarkStart w:id="33" w:name="_Toc135306802"/>
      <w:bookmarkStart w:id="34" w:name="_Toc135306748"/>
      <w:bookmarkStart w:id="35" w:name="_Toc133412245"/>
      <w:bookmarkStart w:id="36" w:name="_Toc133326289"/>
      <w:bookmarkStart w:id="37" w:name="_Toc120882924"/>
      <w:bookmarkStart w:id="38" w:name="_Toc120882726"/>
      <w:bookmarkStart w:id="39" w:name="_Toc143161887"/>
      <w:bookmarkStart w:id="40" w:name="_Toc143022222"/>
      <w:bookmarkStart w:id="41" w:name="_Toc136925328"/>
      <w:bookmarkStart w:id="42" w:name="_Toc136873475"/>
      <w:bookmarkStart w:id="43" w:name="_Toc136579532"/>
      <w:bookmarkStart w:id="44" w:name="_Toc135309028"/>
      <w:bookmarkStart w:id="45" w:name="_Toc135306802"/>
      <w:bookmarkStart w:id="46" w:name="_Toc135306748"/>
      <w:bookmarkStart w:id="47" w:name="_Toc133412245"/>
      <w:bookmarkStart w:id="48" w:name="_Toc133326289"/>
      <w:bookmarkStart w:id="49" w:name="_Toc120882924"/>
      <w:bookmarkStart w:id="50" w:name="_Toc120882726"/>
      <w:bookmarkEnd w:id="39"/>
      <w:bookmarkEnd w:id="40"/>
      <w:bookmarkEnd w:id="41"/>
      <w:bookmarkEnd w:id="42"/>
      <w:bookmarkEnd w:id="43"/>
      <w:bookmarkEnd w:id="44"/>
      <w:bookmarkEnd w:id="45"/>
      <w:bookmarkEnd w:id="46"/>
      <w:bookmarkEnd w:id="47"/>
      <w:bookmarkEnd w:id="48"/>
      <w:bookmarkEnd w:id="49"/>
      <w:bookmarkEnd w:id="50"/>
    </w:p>
    <w:p>
      <w:pPr>
        <w:pStyle w:val="2poziom"/>
        <w:numPr>
          <w:ilvl w:val="1"/>
          <w:numId w:val="31"/>
        </w:numPr>
        <w:ind w:left="851" w:hanging="567"/>
        <w:rPr/>
      </w:pPr>
      <w:bookmarkStart w:id="51" w:name="_Toc143161888"/>
      <w:r>
        <w:rPr/>
        <w:t>Zasięg przestrzenny i sieć osadnicza</w:t>
      </w:r>
      <w:bookmarkEnd w:id="51"/>
    </w:p>
    <w:p>
      <w:pPr>
        <w:pStyle w:val="Normal"/>
        <w:spacing w:lineRule="auto" w:line="276"/>
        <w:jc w:val="both"/>
        <w:rPr/>
      </w:pPr>
      <w:r>
        <w:rPr/>
        <w:t>MOF Włocławka położony jest w południowo-wschodniej części województwa kujawsko-pomorskiego. Terytorialnie obejmuje swym zasięgiem gminę miejską Włocławek (stanowiącą rdzeń obszaru funkcjonalnego) oraz wszystkie 13 gmin z powiatu włocławskiego - gminę miejską (Kowal), 5 gmin miejsko-wiejskich (Brześć Kujawski, Chodecz, Izbica Kujawska, Lubień Kujawski, Lubraniec) i 7 gmin wiejskich (Baruchowo, Boniewo, Choceń, Fabianki, Kowal, Lubanie, Włocławek). Obszar zajmuje powierzchnię 1 558 km</w:t>
      </w:r>
      <w:r>
        <w:rPr>
          <w:vertAlign w:val="superscript"/>
        </w:rPr>
        <w:t>2</w:t>
      </w:r>
      <w:r>
        <w:rPr/>
        <w:t>.</w:t>
      </w:r>
      <w:bookmarkEnd w:id="0"/>
    </w:p>
    <w:p>
      <w:pPr>
        <w:pStyle w:val="TytuMAPiTABEL"/>
        <w:rPr/>
      </w:pPr>
      <w:r>
        <w:rPr/>
        <w:t>Mapa 1. Zasięg przestrzenny MOF</w:t>
      </w:r>
    </w:p>
    <w:p>
      <w:pPr>
        <w:pStyle w:val="Normal"/>
        <w:spacing w:lineRule="auto" w:line="240"/>
        <w:rPr>
          <w:rFonts w:eastAsia="MS Mincho" w:cs="Calibri" w:cstheme="minorHAnsi"/>
          <w:b/>
          <w:iCs/>
          <w:sz w:val="20"/>
          <w:szCs w:val="20"/>
        </w:rPr>
      </w:pPr>
      <w:r>
        <w:rPr/>
        <w:drawing>
          <wp:inline distT="0" distB="0" distL="0" distR="0">
            <wp:extent cx="5761355" cy="2700655"/>
            <wp:effectExtent l="0" t="0" r="0" b="0"/>
            <wp:docPr id="29"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3" descr=""/>
                    <pic:cNvPicPr>
                      <a:picLocks noChangeAspect="1" noChangeArrowheads="1"/>
                    </pic:cNvPicPr>
                  </pic:nvPicPr>
                  <pic:blipFill>
                    <a:blip r:embed="rId12"/>
                    <a:stretch>
                      <a:fillRect/>
                    </a:stretch>
                  </pic:blipFill>
                  <pic:spPr bwMode="auto">
                    <a:xfrm>
                      <a:off x="0" y="0"/>
                      <a:ext cx="5761355" cy="2700655"/>
                    </a:xfrm>
                    <a:prstGeom prst="rect">
                      <a:avLst/>
                    </a:prstGeom>
                  </pic:spPr>
                </pic:pic>
              </a:graphicData>
            </a:graphic>
          </wp:inline>
        </w:drawing>
      </w:r>
    </w:p>
    <w:p>
      <w:pPr>
        <w:pStyle w:val="Normal"/>
        <w:spacing w:lineRule="auto" w:line="276"/>
        <w:jc w:val="both"/>
        <w:rPr>
          <w:lang w:eastAsia="pl-PL"/>
        </w:rPr>
      </w:pPr>
      <w:r>
        <w:rPr>
          <w:lang w:eastAsia="pl-PL"/>
        </w:rPr>
        <w:t xml:space="preserve">Spośród wszystkich miejscowości występujących na terenie MOF największe znaczenie ma miasto Włocławek (miasto rdzeń) z uwagi na posiadany potencjał społeczno-gospodarczy, pełnione funkcje </w:t>
        <w:br/>
        <w:t>i oddziaływanie na obszary otaczające, w związku z tym wykształcone zostały silne powiązania społeczno-gospodarcze pomiędzy ośrodkiem miejskim i pozostałą częścią obszaru. Miasto jest siedzibą powiatu włocławskiego i wiejskiej gminy Włocławek. Oferuje dostęp zarówno do powszechnych jak</w:t>
        <w:br/>
        <w:t xml:space="preserve"> i bardziej specjalistycznych usług m.in. z zakresu szkolnictwa wyższego, ochrony zdrowia, administracji publicznej, których oddziaływanie wykracza poza zasięg obszaru MOF. Ośrodki o znaczeniu lokalnym, będące siedzibami gmin, koncentrują działalność związaną z podstawową obsługą mieszkańców</w:t>
        <w:br/>
        <w:t xml:space="preserve"> z zakresu opieki przedszkolnej, szkolnictwa podstawowego, opieki zdrowotnej. </w:t>
      </w:r>
    </w:p>
    <w:p>
      <w:pPr>
        <w:pStyle w:val="Normal"/>
        <w:spacing w:lineRule="auto" w:line="276"/>
        <w:jc w:val="both"/>
        <w:rPr>
          <w:rFonts w:eastAsia="Times New Roman" w:cs="Times New Roman"/>
          <w:lang w:eastAsia="pl-PL"/>
        </w:rPr>
      </w:pPr>
      <w:r>
        <w:rPr>
          <w:rFonts w:eastAsia="Times New Roman" w:cs="Times New Roman"/>
          <w:lang w:eastAsia="pl-PL"/>
        </w:rPr>
        <w:t>Sieć osadniczą</w:t>
      </w:r>
      <w:r>
        <w:rPr>
          <w:rStyle w:val="Zakotwiczenieprzypisudolnego"/>
          <w:rFonts w:eastAsia="Times New Roman" w:cs="Times New Roman"/>
          <w:lang w:eastAsia="pl-PL"/>
        </w:rPr>
        <w:footnoteReference w:id="4"/>
      </w:r>
      <w:r>
        <w:rPr>
          <w:rFonts w:eastAsia="Times New Roman" w:cs="Times New Roman"/>
          <w:lang w:eastAsia="pl-PL"/>
        </w:rPr>
        <w:t xml:space="preserve"> MOF tworzą 473 zamieszkane miejscowości (co uznaje się za wartość bardzo wysoką). Wśród nich największą jednostką pod względem liczby ludności jest liczące ponad 100 tys. mieszkańców miasto Włocławek, będące 3. pod względem liczby ludności miastem na prawach powiatów w województwie. Obok Włocławka na terenie MOF występuje sześć miast: Brześć Kujawski (liczący 4,5 tys. osób), Lubraniec i Kowal (liczące 3,0-3,5 tys. osób), Izbica Kujawska (2,6 tys.), Chodecz (1,8 tys.) oraz Lubień Kujawski (1,4 tys.), będący najmniejszym miastem w województwie. Miasta</w:t>
        <w:br/>
        <w:t xml:space="preserve"> te wraz z Włocławkiem koncentrowały łącznie 2/3 wszystkich mieszkańców obszaru. </w:t>
      </w:r>
    </w:p>
    <w:p>
      <w:pPr>
        <w:pStyle w:val="Normal"/>
        <w:spacing w:lineRule="auto" w:line="276"/>
        <w:jc w:val="both"/>
        <w:rPr>
          <w:rFonts w:eastAsia="Times New Roman" w:cs="Times New Roman"/>
          <w:lang w:eastAsia="pl-PL"/>
        </w:rPr>
      </w:pPr>
      <w:r>
        <w:rPr>
          <w:rFonts w:eastAsia="Times New Roman" w:cs="Times New Roman"/>
          <w:lang w:eastAsia="pl-PL"/>
        </w:rPr>
        <w:t xml:space="preserve">Rozkład przestrzenny miejscowości na terenie MOF jest mniej więcej równomierny, za wyjątkiem północnej, mocno zalesionej części w obrębie doliny Wisły. Miasta zlokalizowane są w jego południowo-zachodniej i południowo-wschodniej części. Najwięcej miejscowości </w:t>
      </w:r>
      <w:r>
        <w:rPr/>
        <w:t xml:space="preserve">położonych jest </w:t>
        <w:br/>
        <w:t>na terenie gminy</w:t>
      </w:r>
      <w:r>
        <w:rPr>
          <w:rFonts w:eastAsia="Times New Roman" w:cs="Times New Roman"/>
          <w:lang w:eastAsia="pl-PL"/>
        </w:rPr>
        <w:t xml:space="preserve"> Lubień Kujawski (60), najmniej zaś na terenie gminy Fabianki (22).</w:t>
      </w:r>
    </w:p>
    <w:p>
      <w:pPr>
        <w:pStyle w:val="Normal"/>
        <w:spacing w:lineRule="auto" w:line="276"/>
        <w:jc w:val="both"/>
        <w:rPr>
          <w:rFonts w:eastAsia="Times New Roman" w:cs="Times New Roman"/>
          <w:lang w:eastAsia="pl-PL"/>
        </w:rPr>
      </w:pPr>
      <w:r>
        <w:rPr>
          <w:rFonts w:eastAsia="Times New Roman" w:cs="Times New Roman"/>
          <w:lang w:eastAsia="pl-PL"/>
        </w:rPr>
        <w:t>Poza miastami, większą liczbą mieszkańców, tj. powyżej 1 tys. osób, charakteryzuje się sześć miejscowości, skupiających łącznie 4,6% mieszkańców obszaru. W przypadku gminy Choceń jest</w:t>
        <w:br/>
        <w:t xml:space="preserve"> to siedziba gminy, w pozostałych zaś większe miejscowości wiejskie. W gminie Fabianki siedziba gminy (878 mieszkańców) cechuje się nieco mniejszym potencjałem ludnościowym niż 3 miejscowości w tej gminie, tj. Szpetal Górny, Bogucin i Nasiegniewo, (kolejno </w:t>
      </w:r>
      <w:r>
        <w:rPr/>
        <w:t>2 387</w:t>
      </w:r>
      <w:r>
        <w:rPr>
          <w:rFonts w:eastAsia="Times New Roman" w:cs="Times New Roman"/>
          <w:lang w:eastAsia="pl-PL"/>
        </w:rPr>
        <w:t>, 1 088 i 1 079 mieszkańców). Zlokalizowane są one w bliskim sąsiedztwie miasta Włocławek, w rejonie ważnego ciągu komunikacyjnego jakim jest droga krajowa. Stosunkowo duża liczba mieszkańców w tychże miejscowościach świadczy o zachodzącym procesie suburbanizacji, będącym jednym z etapów rozwoju miasta i otaczających go obszarów wiejskich. Poza 3 wspomnianymi miejscowościami, próg 1 tys. mieszkańców przekroczyła również miejscowość Czerniewice (gmina Choceń) oraz Wieniec (gmina Brześć Kujawski).</w:t>
      </w:r>
    </w:p>
    <w:p>
      <w:pPr>
        <w:pStyle w:val="Normal"/>
        <w:spacing w:lineRule="auto" w:line="276"/>
        <w:jc w:val="both"/>
        <w:rPr>
          <w:rFonts w:eastAsia="Times New Roman" w:cs="Times New Roman"/>
          <w:lang w:eastAsia="pl-PL"/>
        </w:rPr>
      </w:pPr>
      <w:r>
        <w:rPr>
          <w:rFonts w:eastAsia="Times New Roman" w:cs="Times New Roman"/>
          <w:lang w:eastAsia="pl-PL"/>
        </w:rPr>
        <w:t xml:space="preserve">Spośród wszystkich gmin w zasięgu MOF na terenie 5 jednostek: Baruchowo, Boniewo, Kowal, Lubanie i wiejskiej Włocławek nie odnotowano miejscowości liczącej powyżej 1 tys. mieszkańców. Niemniej siedziby tych gmin (poza gminą wiejską Włocławek i gminą wiejską Kowal, których siedzibami </w:t>
        <w:br/>
        <w:t>są miasta) cechowały się najwyższą liczbą mieszkańców na terenie danej gminy, aczkolwiek liczbę mieszkańców w tychże miejscowościach należy uznać za relatywnie niską (Baruchowo - 595, Boniewo - 527, Lubanie - 802).</w:t>
      </w:r>
    </w:p>
    <w:p>
      <w:pPr>
        <w:pStyle w:val="Normal"/>
        <w:spacing w:lineRule="auto" w:line="276"/>
        <w:jc w:val="both"/>
        <w:rPr>
          <w:lang w:eastAsia="pl-PL"/>
        </w:rPr>
      </w:pPr>
      <w:r>
        <w:rPr>
          <w:lang w:eastAsia="pl-PL"/>
        </w:rPr>
        <w:t xml:space="preserve">Problemem sieci osadniczej obszaru jest silne rozproszenie osadnictwa, będące pochodną rolniczego charakteru obszaru, które ma ogromny wpływ na kształtowanie jakości życia mieszkańców MOF (kwestia zapewnienia dostępu do usług publicznych). MOF cechuje się bardzo dużą liczbą miejscowości małych i bardzo małych, tj. poniżej 100 mieszkańców (49,7% ogółu). Aż 235 tej klasy wielkościowej miejscowości zamieszkuje prawie 12,5 tys. osób, co stanowi 6,6% mieszkańców obszaru. Stosunkowo dużą grupę stanowią także miejscowości w przedziale wielkościowym od 101 do 300 mieszkańców – 189 miejscowości, które zamieszkiwane są łącznie przez przeszło 1/3 mieszkańców obszaru. Stan ilościowy miejscowości o liczbie mieszkańców w przedziale od 301 do 700 równy jest natomiast 31. Liczba mieszkańców zamieszkująca te miejscowości stanowi 7,2% wszystkich mieszkańców na terenie obszaru. </w:t>
      </w:r>
    </w:p>
    <w:p>
      <w:pPr>
        <w:pStyle w:val="Normal"/>
        <w:spacing w:lineRule="auto" w:line="276" w:before="0" w:after="200"/>
        <w:rPr>
          <w:lang w:eastAsia="pl-PL"/>
        </w:rPr>
      </w:pPr>
      <w:r>
        <w:rPr>
          <w:lang w:eastAsia="pl-PL"/>
        </w:rPr>
      </w:r>
      <w:r>
        <w:br w:type="page"/>
      </w:r>
    </w:p>
    <w:p>
      <w:pPr>
        <w:pStyle w:val="TytuMAPiTABEL"/>
        <w:rPr/>
      </w:pPr>
      <w:r>
        <w:rPr/>
        <w:t>Mapa 2.  Liczba ludności w miejscowościach MOF</w:t>
      </w:r>
    </w:p>
    <w:p>
      <w:pPr>
        <w:pStyle w:val="Normal"/>
        <w:spacing w:lineRule="auto" w:line="240"/>
        <w:rPr>
          <w:lang w:eastAsia="pl-PL"/>
        </w:rPr>
      </w:pPr>
      <w:r>
        <w:rPr/>
        <w:drawing>
          <wp:inline distT="0" distB="0" distL="0" distR="0">
            <wp:extent cx="5329555" cy="7163435"/>
            <wp:effectExtent l="0" t="0" r="0" b="0"/>
            <wp:docPr id="30"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 descr=""/>
                    <pic:cNvPicPr>
                      <a:picLocks noChangeAspect="1" noChangeArrowheads="1"/>
                    </pic:cNvPicPr>
                  </pic:nvPicPr>
                  <pic:blipFill>
                    <a:blip r:embed="rId13"/>
                    <a:stretch>
                      <a:fillRect/>
                    </a:stretch>
                  </pic:blipFill>
                  <pic:spPr bwMode="auto">
                    <a:xfrm>
                      <a:off x="0" y="0"/>
                      <a:ext cx="5329555" cy="7163435"/>
                    </a:xfrm>
                    <a:prstGeom prst="rect">
                      <a:avLst/>
                    </a:prstGeom>
                  </pic:spPr>
                </pic:pic>
              </a:graphicData>
            </a:graphic>
          </wp:inline>
        </w:drawing>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2poziom"/>
        <w:numPr>
          <w:ilvl w:val="1"/>
          <w:numId w:val="31"/>
        </w:numPr>
        <w:ind w:left="851" w:hanging="567"/>
        <w:rPr/>
      </w:pPr>
      <w:bookmarkStart w:id="52" w:name="_Toc143161889"/>
      <w:r>
        <w:rPr/>
        <w:t>Informacje fizycznogeograficzne. Ochrona przyrody</w:t>
      </w:r>
      <w:bookmarkEnd w:id="52"/>
    </w:p>
    <w:p>
      <w:pPr>
        <w:pStyle w:val="Normal"/>
        <w:spacing w:lineRule="auto" w:line="276"/>
        <w:jc w:val="both"/>
        <w:rPr/>
      </w:pPr>
      <w:r>
        <w:rPr/>
        <w:t xml:space="preserve">Pod względem fizycznogeograficznym MOF znajduje się w zasięgu 6 mezoregionów, tj. Kotliny Płockiej, Kotliny Toruńskiej, Pojezierza Dobrzyńskiego, Równiny Inowrocławskiej, Pojezierza Kujawskiego oraz Wysoczyzny Kłodawskiej. Generalnie krajobraz znacznej części obszaru związany jest z płaską bądź lekko falistą wysoczyzną morenową Pojezierza Kujawskiego, porozcinaną dolinami erozyjno-denudacyjnymi i rynnami polodowcowymi oraz z doliną Wisły znajdującą się w obrębie Kotliny Płockiej. W samej strefie kontaktu doliny z wysoczyzną Pojezierza Dobrzyńskiego i Kujawskiego widoczne </w:t>
        <w:br/>
        <w:t xml:space="preserve">są znaczne deniwelacje, spadki terenu oraz rozcięcia w postaci dolinek denudacyjnych. Warunki glebowe są zróżnicowane, choć w przeważającej części obszaru uznaje się je za sprzyjające prowadzeniu działalności rolniczej. Dominują gleby płowe. W obrębie Pojezierza Kujawskiego napotkać można także bardzo żyzne gleby w postaci czarnoziemów. W obrębie doliny Wisły, występują zarówno bardzo żyzne gleby w postaci mad rzecznych wykształcone na równinach zalewowych, jak i słabe gleby bielicowe, rdzawe powstałe na rozległych górnych piaszczystych poziomach doliny porośniętych obecnie kompleksami leśnymi. Powierzchnia gruntów leśnych (czyli lasów i gruntów związanych </w:t>
        <w:br/>
        <w:t>z gospodarką leśną), wynosi 304,5 km</w:t>
      </w:r>
      <w:r>
        <w:rPr>
          <w:vertAlign w:val="superscript"/>
        </w:rPr>
        <w:t>2</w:t>
      </w:r>
      <w:r>
        <w:rPr/>
        <w:t xml:space="preserve">, zaś wskaźnik lesistości stanowi 19,1% i </w:t>
      </w:r>
      <w:r>
        <w:rPr>
          <w:rFonts w:cs="Calibri" w:cstheme="minorHAnsi"/>
          <w:iCs/>
          <w:szCs w:val="20"/>
        </w:rPr>
        <w:t>jest niższy od średniej wartości wojewódzkiej</w:t>
      </w:r>
      <w:r>
        <w:rPr/>
        <w:t xml:space="preserve"> (23,5%). W przypadku poszczególnych gmin stopień ich zalesienia wykazuje znaczne zróżnicowanie (zaznacza się wyraźny kontrast pomiędzy północno-wschodnią, a pozostałą częścią obszaru). Poza rzeką Wisłą do ważniejszych cieków MOF zalicza się: Chełmiczankę, Chodeczkę, Lubieńkę oraz Zgłowiączkę. Zgodnie z Mapą Podziału Hydrograficznego Polski sumaryczna liczba jezior na obszarze wynosi 100 spośród 1 069 zidentyfikowanych na terenie województwa, jednakże </w:t>
        <w:br/>
        <w:t xml:space="preserve">w większości są to obiekty małe i bardzo małe, o powierzchni nieprzekraczającej 10 ha (67 ze 100 obiektów). Do największych jezior (o powierzchni powyżej 100 ha) zalicza się m.in.: Rakutowskie (384 ha), Modzerowskie (232 ha) oraz Borzymowskie (200 ha). MOF cechuje się niskim udziałem obszarów prawnie chronionych w powierzchni ogółem. Niespełna 1/5 powierzchni MOF (16,7%), </w:t>
        <w:br/>
        <w:t xml:space="preserve">nie uwzględniając tu obszarów Natura 2000, objęta jest ochroną prawną. Do najważniejszych obszarowych form ochrony przyrody znajdujących się całościowo lub częściowo w MOF zalicza się: </w:t>
        <w:br/>
        <w:t>8 rezerwatów przyrody, 1 park krajobrazowy, 2 obszary chronionego krajobrazu oraz 7 obszarów Natura 2000 (w tym 3 obszary specjalnej ochrony ptaków oraz 4 specjalne obszary ochrony siedlisk). Rozmieszczenie form ochrony związane jest głównie z równinami wydmowymi porośniętymi lasem, doliną Wisły oraz z jeziorami (m.in. Rakutowskim, Modzerowskim) i ich najbliższym otoczeniem.</w:t>
      </w:r>
    </w:p>
    <w:p>
      <w:pPr>
        <w:pStyle w:val="Norma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r>
    </w:p>
    <w:p>
      <w:pPr>
        <w:pStyle w:val="TytuMAPiTABEL"/>
        <w:rPr/>
      </w:pPr>
      <w:r>
        <w:rPr/>
        <w:t>Mapa 3.  Lesistość w gminach województwa kujawsko-pomorskiego</w:t>
      </w:r>
    </w:p>
    <w:p>
      <w:pPr>
        <w:pStyle w:val="Normal"/>
        <w:spacing w:lineRule="auto" w:line="240" w:before="60" w:after="0"/>
        <w:rPr>
          <w:rFonts w:eastAsia="MS Mincho" w:cs="Calibri" w:cstheme="minorHAnsi"/>
          <w:b/>
          <w:iCs/>
          <w:sz w:val="18"/>
          <w:szCs w:val="18"/>
        </w:rPr>
      </w:pPr>
      <w:r>
        <w:rPr/>
        <w:drawing>
          <wp:inline distT="0" distB="0" distL="0" distR="0">
            <wp:extent cx="5758815" cy="4050665"/>
            <wp:effectExtent l="0" t="0" r="0" b="0"/>
            <wp:docPr id="31" name="Obraz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47" descr=""/>
                    <pic:cNvPicPr>
                      <a:picLocks noChangeAspect="1" noChangeArrowheads="1"/>
                    </pic:cNvPicPr>
                  </pic:nvPicPr>
                  <pic:blipFill>
                    <a:blip r:embed="rId14"/>
                    <a:stretch>
                      <a:fillRect/>
                    </a:stretch>
                  </pic:blipFill>
                  <pic:spPr bwMode="auto">
                    <a:xfrm>
                      <a:off x="0" y="0"/>
                      <a:ext cx="5758815" cy="4050665"/>
                    </a:xfrm>
                    <a:prstGeom prst="rect">
                      <a:avLst/>
                    </a:prstGeom>
                  </pic:spPr>
                </pic:pic>
              </a:graphicData>
            </a:graphic>
          </wp:inline>
        </w:drawing>
      </w:r>
    </w:p>
    <w:p>
      <w:pPr>
        <w:pStyle w:val="TytuMAPiTABEL"/>
        <w:rPr/>
      </w:pPr>
      <w:r>
        <w:rPr/>
      </w:r>
    </w:p>
    <w:p>
      <w:pPr>
        <w:pStyle w:val="TytuMAPiTABEL"/>
        <w:rPr/>
      </w:pPr>
      <w:r>
        <w:rPr/>
        <w:t>Mapa 4. Obszary prawnie chronione w MOF</w:t>
      </w:r>
    </w:p>
    <w:p>
      <w:pPr>
        <w:pStyle w:val="Normal"/>
        <w:spacing w:lineRule="auto" w:line="240"/>
        <w:rPr/>
      </w:pPr>
      <w:r>
        <w:rPr/>
        <w:drawing>
          <wp:inline distT="0" distB="0" distL="0" distR="0">
            <wp:extent cx="5761355" cy="2700655"/>
            <wp:effectExtent l="0" t="0" r="0" b="0"/>
            <wp:docPr id="32"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4" descr=""/>
                    <pic:cNvPicPr>
                      <a:picLocks noChangeAspect="1" noChangeArrowheads="1"/>
                    </pic:cNvPicPr>
                  </pic:nvPicPr>
                  <pic:blipFill>
                    <a:blip r:embed="rId15"/>
                    <a:stretch>
                      <a:fillRect/>
                    </a:stretch>
                  </pic:blipFill>
                  <pic:spPr bwMode="auto">
                    <a:xfrm>
                      <a:off x="0" y="0"/>
                      <a:ext cx="5761355" cy="2700655"/>
                    </a:xfrm>
                    <a:prstGeom prst="rect">
                      <a:avLst/>
                    </a:prstGeom>
                  </pic:spPr>
                </pic:pic>
              </a:graphicData>
            </a:graphic>
          </wp:inline>
        </w:drawing>
      </w:r>
    </w:p>
    <w:p>
      <w:pPr>
        <w:pStyle w:val="Normal"/>
        <w:spacing w:lineRule="auto" w:line="240"/>
        <w:rPr/>
      </w:pPr>
      <w:r>
        <w:rPr/>
      </w:r>
    </w:p>
    <w:p>
      <w:pPr>
        <w:pStyle w:val="2poziom"/>
        <w:numPr>
          <w:ilvl w:val="0"/>
          <w:numId w:val="0"/>
        </w:numPr>
        <w:ind w:left="851" w:hanging="567"/>
        <w:rPr/>
      </w:pPr>
      <w:bookmarkStart w:id="53" w:name="_Toc143161890"/>
      <w:r>
        <w:rPr/>
        <w:t>2.3. Turystyka</w:t>
      </w:r>
      <w:bookmarkEnd w:id="53"/>
    </w:p>
    <w:p>
      <w:pPr>
        <w:pStyle w:val="Normal"/>
        <w:spacing w:lineRule="auto" w:line="276"/>
        <w:jc w:val="both"/>
        <w:rPr/>
      </w:pPr>
      <w:r>
        <w:rPr/>
        <w:t xml:space="preserve">Bogactwo naturalnych surowców leczniczych w postaci wody i peloidu leczniczego (borowiny) sprawiło, iż na terenie obszaru, w miejscowości Wieniec-Zdrój (gm. Brześć Kujawski) rozwinęło się lecznictwo uzdrowiskowe. Miejscowość ta należy do jednej z trzech miejscowości posiadających status uzdrowiska na terenie województwa kujawsko-pomorskiego. Funkcjonujące w niej zakłady lecznictwa uzdrowiskowego prowadzą działalność w 6 z 17 kierunków leczniczych oferowanych przez uzdrowiska w całym kraju, przy czym profile leczenia należą do tych najbardziej powszechnych, kierowanych </w:t>
        <w:br/>
        <w:t>do szerokiej grupy odbiorców. Wraz z dwoma pozostałymi uzdrowiskami na terenie województwa, uzdrowisko Wieniec-Zdrój obsługuje prawie 20% krajowego ruchu uzdrowiskowego (kuracjusze leczeni stacjonarnie).</w:t>
      </w:r>
      <w:r>
        <w:rPr>
          <w:rFonts w:cs="Calibri" w:ascii="Arial Narrow" w:hAnsi="Arial Narrow" w:cstheme="minorHAnsi"/>
          <w:color w:val="000000" w:themeColor="text1"/>
        </w:rPr>
        <w:t xml:space="preserve"> </w:t>
      </w:r>
      <w:r>
        <w:rPr>
          <w:rFonts w:cs="Calibri" w:cstheme="minorHAnsi"/>
          <w:color w:val="000000" w:themeColor="text1"/>
        </w:rPr>
        <w:t xml:space="preserve">Uzdrowisko Wieniec – Zdrój funkcjonujące od 1923 roku to jedno z najstarszych </w:t>
        <w:br/>
        <w:t>i najatrakcyjniejszych uzdrowisk w okolicy MOF Włocławka. O jego atrakcyjności świadczą występujące właściwości lecznicze klimatu oraz dogodna lokalizacja (znajduje się w odległości ok. 10 km od autostrady A1) w otoczeniu lasów sosnowych, stanowiących idealne miejsce do kuracji i wypoczynku. Wkrótce oferta Uzdrowiska Wieniec – Zdrój wzbogaci się o tężnię solankową oraz amfiteatr, w którym będą odbywały się wydarzenia kulturalne dostępne zarówno dla kuracjuszy, jak i okolicznych mieszkańców.</w:t>
      </w:r>
      <w:r>
        <w:rPr>
          <w:rFonts w:cs="Calibri" w:ascii="Arial Narrow" w:hAnsi="Arial Narrow" w:cstheme="minorHAnsi"/>
          <w:color w:val="000000" w:themeColor="text1"/>
        </w:rPr>
        <w:t xml:space="preserve"> </w:t>
      </w:r>
      <w:r>
        <w:rPr>
          <w:color w:val="000000" w:themeColor="text1"/>
        </w:rPr>
        <w:t>D</w:t>
      </w:r>
      <w:r>
        <w:rPr/>
        <w:t xml:space="preserve">ziałalność uzdrowiskowa stanowi jedną z ważniejszych dziedzin rozwojowych i ważny kierunek polityki rozwoju województwa. </w:t>
      </w:r>
    </w:p>
    <w:p>
      <w:pPr>
        <w:pStyle w:val="Normal"/>
        <w:spacing w:lineRule="auto" w:line="276"/>
        <w:jc w:val="both"/>
        <w:rPr/>
      </w:pPr>
      <w:r>
        <w:rPr/>
        <w:t>Poza znaczeniem społecznym, gospodarczym ma także bardzo duże znaczenie wizerunkowe.</w:t>
        <w:br/>
        <w:t xml:space="preserve"> W strategii rozwoju województwa kujawsko-pomorskiego do 2030+ - Strategii Przyspieszenia 2030+ wzmacnianie i rozwijanie sektora uzdrowiskowego uznane zostało za niezbędnie dla powodzenia rozwoju regionu. Jest to konieczne zwłaszcza teraz, gdyż sektor lecznictwa uzdrowiskowego dotknięty został bardzo mocno kryzysem wywołanym wybuchem pandemii COVID-19. Za istotne i pożądane wskazuje się więc przeprowadzanie wszelkich działań związanych z kształtowaniem przestrzeni,</w:t>
        <w:br/>
        <w:t xml:space="preserve"> jej dostępności, ochrony środowiska, dostępności transportowej na terenie miejscowości uzdrowiskowych, mających kluczowe znaczenie dla pełnienia zadań uzdrowiskowych. Poza uzdrowiskiem, na postrzeganie MOF jako obszaru atrakcyjnego turystycznie wpływają także wysokie walory przyrodniczo-krajobrazowe (związane z doliną Wisły, obecnością Zbiornika Włocławskiego, jezior oraz kompleksu leśnego znajdującego się w zasięgu Gostynińsko-Włocławskiego Parku Krajobrazowego) oraz walory dziedzictwa kulturowego obszaru znajdującego się w zasięgu Kujaw (krainy historyczno-etnograficznej, cechującej się pewną odrębnością kulturową, przejawiającą </w:t>
        <w:br/>
        <w:t xml:space="preserve">się w gwarze, sztuce ludowej, tradycyjnych strojach, czy w potrawach regionalnych). Dziedzictwo kulturowe obszaru związane jest również z Piastami i początkiem rozwoju państwa polskiego. Przez teren obszaru przebiega popularny i rozpoznawalny w kraju Szlak Piastowski. Pod względem atrakcyjności turystycznej duże znaczenie ma Włocławek (ośrodek o znaczeniu ponadregionalnym </w:t>
        <w:br/>
        <w:t xml:space="preserve">w obsłudze ruchu turystycznego; skupiający ruch krajoznawczy i biznesowy) cechujący się licznymi zabytkami, bogatą ofertą organizowanych wydarzeń kulturalnych i sportowych, a także obiektami przemysłowymi możliwymi do zwiedzania przez grupy zorganizowane. Mowa tu o Fabryce Fajansu, czyli tradycyjnego, ręcznie malowanego rodzaju ceramiki, kojarzonego i rozpoznawalnego w kraju i na świecie, zakładzie chemicznym Anwil, czy największej w skali kraju elektrowni przepływowej na Wiśle. Dużą </w:t>
      </w:r>
      <w:r>
        <w:rPr>
          <w:rFonts w:cs="Calibri" w:cstheme="minorHAnsi"/>
          <w:color w:val="000000" w:themeColor="text1"/>
        </w:rPr>
        <w:t>rolę w kulturze regionu odgrywa również Brzeskie Centrum Kultury i Historii „Wahadło”, które posiada atrakcyjną ofertę organizowanych wydarzeń kulturalnych oraz warsztatów o różnorodnej tematyce. W Centrum Kultury znajduje się również wystawa multimedialna „Wahadło czasu”, która opowiada o historii i tradycji Brześcia Kujawskiego od neolitu po czasy współczesne.</w:t>
      </w:r>
      <w:r>
        <w:rPr>
          <w:rFonts w:cs="Calibri" w:ascii="Arial Narrow" w:hAnsi="Arial Narrow" w:cstheme="minorHAnsi"/>
          <w:color w:val="000000" w:themeColor="text1"/>
        </w:rPr>
        <w:t xml:space="preserve"> </w:t>
      </w:r>
      <w:r>
        <w:rPr/>
        <w:t xml:space="preserve">Przy czym dostrzega się potrzebę dalszego wzmacniania funkcji turystycznej miasta w celu zwiększenia jego konkurencyjności i możliwości recepcji dodatkowego ruchu turystycznego. Do ciekawszych atrakcji obszaru zaliczyć można m.in. Park Kulturowy w Sarnowie i w Wietrzychowicach (unikatowe </w:t>
        <w:br/>
        <w:t>w skali kraju z uwagi na obecność kurhanów – grobowców megalitycznych) oraz Kujawsko-Dobrzyński Park Etnograficzny w Kłóbce. Atrakcje te mają raczej znaczenie lokalne (skala generowanego ruchu), niemniej stanowić mogą ciekawe uzupełnienie oferty Włocławka.</w:t>
      </w:r>
    </w:p>
    <w:p>
      <w:pPr>
        <w:pStyle w:val="Normal"/>
        <w:spacing w:lineRule="auto" w:line="276"/>
        <w:jc w:val="both"/>
        <w:rPr/>
      </w:pPr>
      <w:r>
        <w:rPr/>
        <w:t>Wydaje się jednak, iż rzeczywisty potencjał obszaru nie jest jeszcze maksymalnie wykorzystywany, głównie za sprawą braków w infrastrukturze turystycznej, objawiających się niskim poziomem rozwoju bazy noclegowej, słabym zagospodarowaniem przestrzeni publicznych, w tym wokół jezior, niską liczbą dostępnych szlaków turystycznych (pieszych, rowerowych), które to zapewniają dostęp do miejsc najbardziej atrakcyjnych. Różnorodność oferty turystycznej i rekreacyjnej, w połączeniu z rozwiniętą funkcją uzdrowiskową, stanowi potencjał endogeniczny obszaru i wpłynęła na wytworzenie powiązań funkcjonalnych na terenie MOF, poprzez rozwój kompleksowej oferty turystycznej i rekreacyjnej.</w:t>
        <w:br/>
        <w:t xml:space="preserve"> W celu zwiększenia atrakcyjności turystycznej i konkurencyjności obszaru oraz wzmacniania istniejących powiązań funkcjonalnych w zakresie turystyki i rekreacji za istotne uznaje się tworzenie nowych przestrzeni publicznych, poprawę jakości i funkcjonalności terenów już zagospodarowanych </w:t>
        <w:br/>
        <w:t>w celu zaspokojenia rosnących potrzeb nie tylko mieszkańców, ale i przyjezdnych (poprzez przebudowę, modernizację, doposażanie przestrzeni w różnego rodzaju urządzenia służące turystyce</w:t>
        <w:br/>
        <w:t xml:space="preserve"> i rekreacji, poprawę ich dostępności). Ważnym aspektem jest także zapewnienie dobrej dostępności atrakcji turystycznych i przestrzeni publicznych poprzez budowę infrastruktury w postaci szlaków turystycznych. Ponadto obszar posiada potencjał w zakresie utworzenia nowych produktów turystycznych (np. w postaci ścieżek edukacyjnych) opartych zarówno na walorach kulturowych, </w:t>
        <w:br/>
        <w:t>jak i przyrodniczych. Konieczne wydaje się jednak podjęcie działań zmierzających stworzenia spójnej</w:t>
        <w:br/>
        <w:t xml:space="preserve"> i kompleksowej oferty turystycznej bazującej na walorach głównego ośrodka turystycznego obszaru –  miasta Włocławek i atrakcjach, walorach dostępnych na pozostałym obszarze.</w:t>
      </w:r>
    </w:p>
    <w:p>
      <w:pPr>
        <w:pStyle w:val="Normal"/>
        <w:tabs>
          <w:tab w:val="clear" w:pos="680"/>
          <w:tab w:val="left" w:pos="1134" w:leader="none"/>
        </w:tabs>
        <w:rPr/>
      </w:pPr>
      <w:r>
        <w:rPr/>
      </w:r>
    </w:p>
    <w:p>
      <w:pPr>
        <w:pStyle w:val="2poziom"/>
        <w:numPr>
          <w:ilvl w:val="0"/>
          <w:numId w:val="0"/>
        </w:numPr>
        <w:ind w:left="851" w:hanging="567"/>
        <w:rPr/>
      </w:pPr>
      <w:bookmarkStart w:id="54" w:name="_Toc143161891"/>
      <w:r>
        <w:rPr/>
        <w:t>2.4. Transport</w:t>
      </w:r>
      <w:bookmarkEnd w:id="54"/>
    </w:p>
    <w:p>
      <w:pPr>
        <w:pStyle w:val="Poziomost"/>
        <w:numPr>
          <w:ilvl w:val="0"/>
          <w:numId w:val="0"/>
        </w:numPr>
        <w:tabs>
          <w:tab w:val="left" w:pos="360" w:leader="none"/>
          <w:tab w:val="left" w:pos="1560" w:leader="none"/>
        </w:tabs>
        <w:ind w:left="1418" w:hanging="851"/>
        <w:rPr/>
      </w:pPr>
      <w:bookmarkStart w:id="55" w:name="_Toc143161892"/>
      <w:r>
        <w:rPr/>
        <w:t>2.4.1. Sieć transportowa</w:t>
      </w:r>
      <w:bookmarkEnd w:id="55"/>
    </w:p>
    <w:p>
      <w:pPr>
        <w:pStyle w:val="Normal"/>
        <w:spacing w:lineRule="auto" w:line="276"/>
        <w:jc w:val="both"/>
        <w:rPr/>
      </w:pPr>
      <w:r>
        <w:rPr/>
        <w:t>MOF Włocławka położony jest w południowo-wschodniej części województwa kujawsko-pomorskiego. Jest to obszar gdzie występują intensywne relacje funkcjonalne przekładające się na generowanie znacznych przepływów podróżnych. Ponadto miasto Włocławek jest trzecim co do wielkości ośrodkiem w regionie, przez co naturalnie absorbuje znaczną część ruchu generowanego w tej jego części. Patrząc na ww. uwarunkowania, kluczowe jest odpowiednie skomunikowanie tego obszaru oraz zapewnienie dostępu do wysokowydajnych sieci transportowych.</w:t>
      </w:r>
    </w:p>
    <w:p>
      <w:pPr>
        <w:pStyle w:val="Normal"/>
        <w:spacing w:lineRule="auto" w:line="276"/>
        <w:jc w:val="both"/>
        <w:rPr/>
      </w:pPr>
      <w:r>
        <w:rPr/>
        <w:t>Przez MOF przebiega szereg szlaków transportowych o znaczeniu lokalnym, regionalnym, krajowym</w:t>
        <w:br/>
        <w:t xml:space="preserve"> i międzynarodowym. Pod względem infrastruktury drogowej za najważniejsze należy uznać autostradę A1 oraz drogi krajowe o numerach 62, 67 i 91. Głównym korytarzem w komunikacji drogowej zapewniającym możliwość podróży ponadlokalnych, międzyregionalnych, a nawet międzynarodowych jest autostrada A1. Jest to kluczowa droga komunikująca ze sobą aglomeracje Trójmiasta (i obecne na tym obszarze porty morskie), Torunia, Łodzi oraz konurbację górnośląską, stanowiąc najważniejszą krajową oś w transporcie drogowym w relacji północ-południe. Obsługa omawianego obszaru przez ww. autostradę odbywa się za pośrednictwem trzech węzłów drogowych – Włocławek Północ (kluczowy dla skomunikowania północnej, silnie uprzemysłowionej części miasta), Włocławek Zachód (najbliższy w kontekście skomunikowania centrum miasta) i Kowal (przeznaczony do skomunikowania południowej części MOF, w szczególności miasta Kowal). Następnie należy zwrócić uwagę na kolejną drogę przebiegającą przez omawiany obszar w układzie południkowym tj. DK91. Jest to dawna droga krajowa nr 1, do wybudowania A1 pełniąca rolę głównego korytarza transportowego w relacji północ-południe. Obecnie ma ona znaczenie bardziej lokalne, polegające na zapewnieniu dostępu do miejscowości położonych w jej ciągu (w tym m.in. Włocławka gdzie biegnie w ciągu</w:t>
        <w:br/>
        <w:t xml:space="preserve"> ul. Toruńskiej, ul. Stefana Okrzei oraz Al. Fryderyka Chopina przez ścisłe centrum miasta), zapewniając dojazd do węzła autostradowego Kowal czy też będąc bezkosztową alternatywą dla A1. Kolejną ważną drogą krajową przebiegającą przez omawiany obszar jest DK62 (Strzelno – Radziejów – Włocławek – Płock – Warszawa – Siemiatycze). Jest to ciąg obsługujący ruch w układzie równoleżnikowym. Zapewnia ona dostęp do węzła autostradowego Włocławek Zachód a także komunikuje MOF</w:t>
        <w:br/>
        <w:t xml:space="preserve"> z powiatami radziejowskim, inowrocławskim i płockim. Ostatnią drogą krajową przebiegającą przez analizowany obszar jest DK67 łącząca Włocławek z Lipnem. W jej ciągu przebiega jedna z dwóch przepraw mostowych przez Wisłę (druga to most Marszałka Rydza-Śmigłego w kategorii drogi powiatowej) będąca jednocześnie koroną zapory na Wiśle. Żadna z tych przepraw, ze względu na ograniczenia konstrukcyjne oraz wynikające ze stanu obiektów, nie spełnia wymogów dla przepraw samochodowych o nośności powyżej40 ton. Trasa ta ma szczególne znaczenie dla skomunikowania jedynej gminy MOF położonej na prawym brzegu Wisły, czyli gminy Fabianki, w której zachodzi intensywny proces suburbanizacji miasta Włocławka.</w:t>
      </w:r>
    </w:p>
    <w:p>
      <w:pPr>
        <w:pStyle w:val="Normal"/>
        <w:spacing w:lineRule="auto" w:line="276"/>
        <w:jc w:val="both"/>
        <w:rPr/>
      </w:pPr>
      <w:r>
        <w:rPr/>
        <w:t>Poza drogami krajowymi integralną częścią sieci drogowej omawianego obszaru są drogi wojewódzkie. Ich stosunkowo równomierne rozmieszczenie pozwala na optymalną obsługę ruchu w większości kluczowych relacji, wzmacniając społeczno-gospodarcze powiązania wewnątrz obszaru. Ważną funkcją dla niektórych z dróg wojewódzkich jest kanalizowanie ruchu w kierunku miasta Włocławka. Tego typu charakter mają DW252 (od węzła autostradowego Włocławek Północ do DK91 na wysokości stacji kolejowej Włocławek Brzezie), DW317 (od Kruszyna przez osiedle Michelin do centrum Włocławka)</w:t>
        <w:br/>
        <w:t xml:space="preserve"> i DW562 (z Dobrzynia nad Wisłą w powiecie lipnowskim przez Nasiegniewo i Szpetal Górny</w:t>
        <w:br/>
        <w:t xml:space="preserve"> do Włocławka za pośrednictwem DK67 lub Most Marszałka Rydza-Śmigłego). Dalej wyróżnić można dwa stosunkowo długie ciągi dróg wojewódzkich, które w istotny sposób odpowiadają za wewnętrzne skomunikowanie obszaru MOF poza Włocławek. Mowa tutaj o DW265 w relacji Brześć Kujawski – Kowal – Gostynin, DW269 Izbica Kujawska – Chodecz – Choceń, a także DW270 w relacji Brześć Kujawski – Lubraniec – Izbica Kujawska – Koło. Poza wskazanymi powyżej należy wspomnieć również o stosunkowo mniej istotnej DW301 będącej łącznikiem między Bądkowem w powiecie radziejowskim, a DK91 na wysokości miejscowości gminnej Lubanie. Jedyną gminą, w granicach której nie przebiega żaden odcinek drogi krajowej lub wojewódzkiej jest gmina Boniewo. Z uwagi na to, znaczną rolę </w:t>
        <w:br/>
        <w:t>w kontekście przyjęcia i kanalizowania ruchu, zarówno lokalnego jak i tranzytowego, muszą przejąć drogi lokalne – powiatowe i gminne. Może to skutkować zwiększoną degradacją infrastruktury, a co za tym idzie – zwiększonymi kosztami utrzymania. W pozostałych przypadkach drogi powiatowe i gminne są najczęściej trasami o znaczeniu lokalnym, będąc ciągami umożliwiającymi obsługę pojedynczych nieruchomości. Istotna zmianą wpływającą na kształt sieci drogowej omawianego obszaru</w:t>
        <w:br/>
        <w:t xml:space="preserve"> i poprawiającą lokalnie funkcjonowanie systemu transportowego jest realizacja obwodnicy Lubrańca, wyprowadzającej intensywny ruch tranzytowy w ciągu drogi wojewódzkiej nr 270 poza miejscowość Lubraniec. </w:t>
      </w:r>
    </w:p>
    <w:p>
      <w:pPr>
        <w:pStyle w:val="Normal"/>
        <w:spacing w:lineRule="auto" w:line="276"/>
        <w:jc w:val="both"/>
        <w:rPr/>
      </w:pPr>
      <w:r>
        <w:rPr/>
        <w:t>Poza infrastrukturą drogową przez teren MOF przebiega linia kolejowa o nr 18 (Kutno – Piła Główna). Szlak ten to dwutorowa, zelektryfikowana, pierwszorzędna linia znaczenia państwowego wykorzystywana zarówno w przewozach pasażerskich jak i towarowych. Jest to niezwykle istotny ciąg w kontekście zapewnienia dostępności zewnętrznej jak i spójności wewnętrznej regionu. Obsługa mieszkańców MOF odbywa się poprzez stacje kolejowe Włocławek, Włocławek Brzezie, Czerniewice</w:t>
        <w:br/>
        <w:t xml:space="preserve"> i Kaliska Kujawskie a także 6 przystanków osobowych (Lubanie, Wiktorowo, Rutkowice, Włocławek Zazamcze, Warząchewka, Gołaszewo Kujawskie). Niewątpliwym problemem w zakresie dostępności transportu kolejowego jest znaczna odległość do stacji i przystanków kolejowych w stosunku</w:t>
        <w:br/>
        <w:t xml:space="preserve"> do obszarów znajdujących się w zachodniej części MOF (gminy Brześć Kujawski, Lubraniec, Boniewo, Izbica Kujawska).</w:t>
      </w:r>
    </w:p>
    <w:p>
      <w:pPr>
        <w:pStyle w:val="Normal"/>
        <w:spacing w:lineRule="auto" w:line="276"/>
        <w:jc w:val="both"/>
        <w:rPr/>
      </w:pPr>
      <w:r>
        <w:rPr/>
        <w:t>Przez omawiany obszar przebiega ponadto Międzynarodowa Droga Wodna E40 (w korycie rzeki Wisły) łącząca Morze Bałtyckie i Morze Czarne. Nie ma ona obecnie jednak większego znaczenia dla regularnego przewozu osób i towarów z uwagi na niewystarczające parametry żeglugowe poniżej stopnia wodnego we Włocławku.</w:t>
      </w:r>
    </w:p>
    <w:p>
      <w:pPr>
        <w:pStyle w:val="TytuMAPiTABEL"/>
        <w:rPr/>
      </w:pPr>
      <w:r>
        <w:rPr/>
      </w:r>
    </w:p>
    <w:p>
      <w:pPr>
        <w:pStyle w:val="TytuMAPiTABEL"/>
        <w:rPr>
          <w:lang w:eastAsia="pl-PL"/>
        </w:rPr>
      </w:pPr>
      <w:r>
        <w:rPr/>
        <w:t>Mapa 5.  Najważniejsze elementy sieci transportowej MOF</w:t>
      </w:r>
      <w:r>
        <w:rPr>
          <w:lang w:eastAsia="pl-PL"/>
        </w:rPr>
        <w:t xml:space="preserve"> </w:t>
      </w:r>
    </w:p>
    <w:p>
      <w:pPr>
        <w:pStyle w:val="Normal"/>
        <w:spacing w:lineRule="auto" w:line="276"/>
        <w:rPr>
          <w:rFonts w:cs="Calibri" w:cstheme="minorHAnsi"/>
          <w:b/>
          <w:iCs/>
          <w:sz w:val="18"/>
          <w:szCs w:val="18"/>
        </w:rPr>
      </w:pPr>
      <w:r>
        <w:rPr/>
        <w:drawing>
          <wp:inline distT="0" distB="0" distL="0" distR="0">
            <wp:extent cx="5753100" cy="8058150"/>
            <wp:effectExtent l="0" t="0" r="0" b="0"/>
            <wp:docPr id="33" name="Obraz 36" descr="\\nasbp1\Krzysztof\OPPT\Grafiki\MOF_WLOCLA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6" descr="\\nasbp1\Krzysztof\OPPT\Grafiki\MOF_WLOCLAWEK.jpg"/>
                    <pic:cNvPicPr>
                      <a:picLocks noChangeAspect="1" noChangeArrowheads="1"/>
                    </pic:cNvPicPr>
                  </pic:nvPicPr>
                  <pic:blipFill>
                    <a:blip r:embed="rId16"/>
                    <a:stretch>
                      <a:fillRect/>
                    </a:stretch>
                  </pic:blipFill>
                  <pic:spPr bwMode="auto">
                    <a:xfrm>
                      <a:off x="0" y="0"/>
                      <a:ext cx="5753100" cy="8058150"/>
                    </a:xfrm>
                    <a:prstGeom prst="rect">
                      <a:avLst/>
                    </a:prstGeom>
                  </pic:spPr>
                </pic:pic>
              </a:graphicData>
            </a:graphic>
          </wp:inline>
        </w:drawing>
      </w:r>
    </w:p>
    <w:p>
      <w:pPr>
        <w:pStyle w:val="Normal"/>
        <w:rPr/>
      </w:pPr>
      <w:r>
        <w:rPr/>
      </w:r>
    </w:p>
    <w:p>
      <w:pPr>
        <w:pStyle w:val="Poziomost"/>
        <w:numPr>
          <w:ilvl w:val="0"/>
          <w:numId w:val="0"/>
        </w:numPr>
        <w:ind w:left="1418" w:hanging="851"/>
        <w:rPr/>
      </w:pPr>
      <w:bookmarkStart w:id="56" w:name="_Toc143161893"/>
      <w:r>
        <w:rPr/>
        <w:t>2.4.2. Ogólna charakterystyka najważniejszych potencjałów, potrzeb i problemów</w:t>
      </w:r>
      <w:bookmarkEnd w:id="56"/>
    </w:p>
    <w:p>
      <w:pPr>
        <w:pStyle w:val="Normal"/>
        <w:spacing w:lineRule="auto" w:line="276"/>
        <w:jc w:val="both"/>
        <w:rPr/>
      </w:pPr>
      <w:r>
        <w:rPr/>
        <w:t xml:space="preserve">Bardzo ważną rolę w kontekście obsługi przewozowej mieszkańców obszaru MOF pełni transport publiczny. Jest on reprezentowany zwłaszcza przez Miejskie Przedsiębiorstwo Komunikacyjne </w:t>
        <w:br/>
        <w:t>we Włocławku, które obsługuje miasto rdzeniowe oraz część gmin ościennych. Ponadto na terenie gmin MOF Włocławka usługę przewozową dla mieszkańców świadczą lokalni przewodnicy. Tabor komunikacji miejskiej jest bardzo często eksploatowany wykonując dużą pracę przewozową – co potwierdzają dane dotyczące liczby przewożonych pasażerów, która w ostatnich latach przekraczała nawet 10-11 mln w skali roku</w:t>
      </w:r>
      <w:r>
        <w:rPr>
          <w:rStyle w:val="Zakotwiczenieprzypisudolnego"/>
        </w:rPr>
        <w:footnoteReference w:id="5"/>
      </w:r>
      <w:r>
        <w:rPr/>
        <w:t xml:space="preserve">. Świadczy to o dużym znaczeniu transportu miejskiego, a co za tym idzie </w:t>
        <w:br/>
        <w:t xml:space="preserve">o odpowiedzialności, która związana jest z zapewnieniem bezpieczeństwa i komfortu pasażerom oraz o odpowiedzialności w kontekście jego wpływu na środowisko (szczególnie pod kątem emisji zanieczyszczeń powietrza). W przypadku pierwszego aspektu, głównym jego obszarem jest infrastruktura dla transportu. Składa się ona m.in. z sieci drogowej, bazy dla pojazdów (pętli i zajezdni) oraz infrastruktury przystankowej. Pod kątem zapewnienia dostępu do komunikacji dla mieszkańców, to właśnie przystanki pełnią najważniejszą rolę. Niektóre z nich charakteryzują się dużym lub bardzo dużym poziomem wyeksploatowania, słabym oznakowaniem oraz brakiem odpowiedniego oświetlenia. Poza tym posiadają one często różnego rodzaju przeszkody architektoniczne (jak </w:t>
        <w:br/>
        <w:t>np. nierówne i nisko osadzone względem podłogi autobusów podłoże, wysokie progi krawężników), które utrudniają korzystanie z nich osobom z niepełnosprawnościami. Inny rodzaj utrudnienia (zwłaszcza w porach wieczornych) stanowią słabo widoczne tablice z rozkładami jazdy. Obecnie coraz bardziej powszechnym rozwiązaniem są elektroniczne i podświetlane tablice rozkładowe, których na obszarze MOF brakuje w szczególności w punktach o dużej wymianie pasażerów. W zakresie drugiego</w:t>
        <w:br/>
        <w:t xml:space="preserve"> z wymienionych powyżej aspektów zasadniczym problemem jest użytkowanie pojazdów spalinowych (w tym o niskich normach czystości spalin wg normy EURO). Powołując się na dane z </w:t>
      </w:r>
      <w:r>
        <w:rPr>
          <w:i/>
        </w:rPr>
        <w:t>Planu zrównoważonego rozwoju publicznego transportu zbiorowego dla miasta Włocławek</w:t>
      </w:r>
      <w:r>
        <w:rPr>
          <w:rStyle w:val="Zakotwiczenieprzypisudolnego"/>
          <w:i/>
        </w:rPr>
        <w:footnoteReference w:id="6"/>
      </w:r>
      <w:r>
        <w:rPr/>
        <w:t xml:space="preserve"> w strukturze autobusów komunikacji miejskiej blisko 45% taboru stanowią autobusy o III lub IV normie EURO, podczas gdy najwyższą normą dla pojazdów o napędzie spalinowym (czyli EURO VI) charakteryzuje się niespełna 28% autobusów. Niemniej jednak w obszarze tym zachodzą pozytywne zmiany powodowane stopniową wymianą taboru na niskoemisyjny – reprezentowany przez autobusy elektryczne lub </w:t>
        <w:br/>
        <w:t xml:space="preserve">z napędem hybrydowym (które jednak stanowią relatywnie nieduży udział). Potrzeba przeprowadzenia modernizacji w obszarze transportu publicznego jest na obszarze MOF nadal bardzo widoczna. Dotyczy to również rozwoju sieci stacji ładowania i tankowania pojazdów nisko i zeroemisyjnych, aby zapewnić wysoką sprawność prowadzenia obsługi komunikacyjnej. Jest to integralny element systemu transportowego, niezbędny do stworzenia możliwości przejścia na transport niskoemisyjny. </w:t>
        <w:br/>
        <w:t>Na obszarze MOF Włocławka poziom wyposażenia w tego typu infrastrukturę nie jest wystarczający</w:t>
        <w:br/>
        <w:t xml:space="preserve"> w stosunku do potrzeb wynikających z wielkości taboru oraz wykonywanej pracy przewozowej.</w:t>
      </w:r>
    </w:p>
    <w:p>
      <w:pPr>
        <w:pStyle w:val="Normal"/>
        <w:spacing w:lineRule="auto" w:line="276"/>
        <w:jc w:val="both"/>
        <w:rPr/>
      </w:pPr>
      <w:r>
        <w:rPr/>
        <w:t>Miasto Włocławek jako ośrodek regionalny, stanowi rdzeń obszaru funkcjonalnego liczącego prawie 200 tys. mieszkańców. Miasto, będąc centrum aktywności społecznej i gospodarczej świadczy usługi biznesowe, administracyjne, kulturalne, nauki, wiedzy, ochrony zdrowia na poziomie regionalnym,</w:t>
        <w:br/>
        <w:t xml:space="preserve"> a także krajowym. Potwierdzeniem dla takiego stanu rzeczy są analizy i badania przeprowadzone dla dokumentu pn. SUMP – </w:t>
      </w:r>
      <w:r>
        <w:rPr>
          <w:i/>
          <w:iCs/>
        </w:rPr>
        <w:t>Planu Zrównoważonej Mobilności Miejskiej</w:t>
      </w:r>
      <w:r>
        <w:rPr/>
        <w:t xml:space="preserve">. Zdiagnozowane w dokumencie problemy i spadające na Miasto Włocławek obowiązki w kontekście zapewnienia obsługi strumieni pasażerskich dla całego Miejskiego Obszaru Funkcjonalnego generują konieczność podejmowania zdecydowanych decyzji dotyczących modernizacji infrastruktury towarzyszącej transportowi zbiorowemu w celu dostosowania jej do rosnących potrzeb w tym zakresie.  </w:t>
      </w:r>
    </w:p>
    <w:p>
      <w:pPr>
        <w:pStyle w:val="Normal"/>
        <w:spacing w:lineRule="auto" w:line="276"/>
        <w:jc w:val="both"/>
        <w:rPr/>
      </w:pPr>
      <w:r>
        <w:rPr/>
        <w:t xml:space="preserve">Obecnie, kluczowe znaczenie dla obsługi mieszkańców MOF Włocławka podróżujących transportem publicznym pełni Centrum Przesiadkowe we Włocławku, które skupia kilka form transportu – tj. kołowy transport zbiorowy regionalny i dalekobieżny oraz kolejowy. Ponieważ na terenie obszaru bardzo dużą wagę przykłada się do rozwoju transportu publicznego, infrastruktura ta jest ciągle rozwijana, aby mogła stanowić dla mieszkańców MOF atrakcyjną alternatywę dla indywidualnego transportu samochodowego. W ubiegłym roku do użytku oddana została realizowana na zamówienie Miasta Włocławek część terenu przeznaczona do obsługi transportu autobusowego, kończą się prace związane z budową nowoczesnego dworca kolejowego. W ramach realizacji infrastruktury autobusowej zostały wykonane m.in.  parking dla autobusów, 10 stanowisk autobusowych: 8 dla pasażerów odjeżdżających, 2 dla przyjeżdżających, chodniki i ciągi komunikacyjne wraz z miejscami oczekiwania pasażerów, miejsca postojowe dla pojazdów osobowych, ścieżka rowerowa, zadaszone miejsca postojowe dla rowerów, wiaty służące swobodnemu przemieszczaniu się pasażerów pod dachem pomiędzy wyjściem z tunelu pod ul. Okrzei, a stanowiskami przyjazdu i odjazdu autobusów, osłonięte miejsce dla oczekujących pasażerów, zadaszenie wyjścia z tunelu w kierunku przystanku MPK, ławki dla oczekujących, elementy małej architektury oraz zamontowana została instalacja fotowoltaiczna do produkcji energii elektrycznej pochodzącej ze źródeł odnawialnych na zadaszeniu konstrukcji stalowej.  </w:t>
      </w:r>
    </w:p>
    <w:p>
      <w:pPr>
        <w:pStyle w:val="Normal"/>
        <w:spacing w:lineRule="auto" w:line="276"/>
        <w:jc w:val="both"/>
        <w:rPr/>
      </w:pPr>
      <w:r>
        <w:rPr/>
        <w:t>Działania te przyczyniły się do wzrostu zainteresowania transportem zbiorowym, a co za tym idzie, znacznego zwiększenia sieci połączeń autobusowych, w szczególności linii komercyjnych międzymiastowych oraz związaną z tym większą liczbą osób podróżujących. Wystąpienie tych pozytywnych trendów przyczyniło się jednak do tak dużego obciążenia oddanej do użytku w roku ubiegłym infrastruktury autobusowej, że niemożliwa stała się obsługa miejskiego przewoźnika – obecnie nie ma możliwości, by miejska komunikacja zbiorowa również korzystała z wybudowanego centrum przesiadkowego, co znacznie ogranicza funkcjonalność Centrum Przesiadkowego. Dodatkowym utrudnieniem jest mała liczba miejsc parkingowych dla aut osobowych dowożących pasażerów do Centrum Przesiadkowego (co może zniechęcać podróżnych do rezygnacji</w:t>
        <w:br/>
        <w:t xml:space="preserve"> z indywidualnego transportu samochodowego na rzecz korzystania z transportu publicznego).</w:t>
      </w:r>
    </w:p>
    <w:p>
      <w:pPr>
        <w:pStyle w:val="Normal"/>
        <w:spacing w:lineRule="auto" w:line="276"/>
        <w:jc w:val="both"/>
        <w:rPr/>
      </w:pPr>
      <w:r>
        <w:rPr/>
        <w:t>Ponadto, z diagnozy Planu Zrównoważonej Mobilności Miejskiej wynika, że na terenie Miejskiego Obszaru Funkcjonalnego wciąż znajdują się obszary wykluczenia komunikacyjnego, które wymagają przebudowy siatki połączeń, a więc również zwiększenia możliwości obsługi tej siatki (wprowadzenie dodatkowego taboru). Łączy się to nierozerwalnie zarówno z koniecznością budowy kolejnych stanowisk dla pojazdów komunikacji zbiorowej, jak również z wykorzystaniem przestrzeni</w:t>
        <w:br/>
        <w:t xml:space="preserve"> na ul. Węglowej jako rozbudowanej formy parkingu Park&amp;Ride. Takie wykorzystanie przestrzeni wiązać się będzie również, zgodnie z zapisami </w:t>
      </w:r>
      <w:r>
        <w:rPr>
          <w:i/>
          <w:iCs/>
        </w:rPr>
        <w:t>rozporządzenia ministra infrastruktury z 16 grudnia 2021 r. w sprawie bezpieczeństwa i higieny pracy w komunikacji miejskiej oraz autobusowej komunikacji międzymiastowej,</w:t>
      </w:r>
      <w:r>
        <w:rPr/>
        <w:t xml:space="preserve"> z koniecznością zapewnienia zaplecza socjalnego wyposażonego w toalety, bieżącą wodę oraz miejsce odpoczynku zarówno dla kierowców komunikacji miejskiej jak i dalekobieżnej.</w:t>
      </w:r>
    </w:p>
    <w:p>
      <w:pPr>
        <w:pStyle w:val="Normal"/>
        <w:spacing w:lineRule="auto" w:line="276"/>
        <w:jc w:val="both"/>
        <w:rPr/>
      </w:pPr>
      <w:r>
        <w:rPr/>
        <w:t>Po oddaniu do użytku nowego budynku dworca PKP oraz modernizacji sieci połączeń kolejowych wraz z planowanym włączeniem stacji kolejowej we Włocławku na istniejącej linii kolejowej nr 18 do sieci kolei dużych prędkości (CPK), sytuacja z deficytem miejsc dla kołowego transportu zbiorowego będzie się pogłębiać. W związku z tym niezbędna jest rozbudowa infrastruktury Centrum Przesiadkowego, przekształcająca je w węzeł przesiadkowy umożliwiający kompleksową obsługę pasażerów, włącznie</w:t>
        <w:br/>
        <w:t xml:space="preserve"> z obsługą miejskiego transportu zbiorowego.</w:t>
      </w:r>
    </w:p>
    <w:p>
      <w:pPr>
        <w:pStyle w:val="Normal"/>
        <w:spacing w:lineRule="auto" w:line="276"/>
        <w:jc w:val="both"/>
        <w:rPr/>
      </w:pPr>
      <w:r>
        <w:rPr/>
        <w:t>Centrum Przesiadkowe na terenie miasta zostało stworzone z myślą o komforcie pasażerów – mieszkańców Włocławka i całego obszaru funkcjonalnego (odbywających podróż komunikacją publiczną, a więc rezygnujących lub ograniczających podróż indywidualnym transportem samochodowym), którzy w sprawny i wygodny sposób chcą zmienić środek transportu np.  z pociągu przesiąść się do komunikacji miejskiej, czy autobusów podmiejskich. Przy obecnym zainteresowaniu przewoźników, mieszkańców i podróżnych korzystaniem z Centrum Przesiadkowego, konieczna staje się jego rozbudowa umożliwiająca pełnienie funkcji rzeczywistego węzła przesiadkowego, na miarę istniejących już dziś i ciągle zwiększających się potrzeb. Wiąże się to z przebudową istniejących miejsc parkingowych na dodatkowe stanowiska do obsługi pasażerskiej, a w związku z powyższym powstaje konieczność przeniesienia pojazdów oczekujących, odbywających obowiązkowe pauzy, w inne miejsce. Z powodu ograniczeń terenowych, jedynym możliwym rozwiązaniem jest w tym przypadku przeniesienie ww. pojazdów na ul. Węglową, gdzie Miasto Włocławek dysponuje swoimi zasobami terenowymi. Dlatego też zasadne jest utworzenie na ul. Węglowej monitorowanego parkingu kubaturowego (częściowo podziemnego), powiększającego dostępność deficytowych miejsc zarówno dla transportu zbiorowego jak i ogólnodostępnych miejsc parkingowych dla pasażerów chcących skorzystać ze zbiorczych form transportu w sposób zintegrowany z transportem indywidualnym. Aby zwiększyć komfort obsługi podróżnych na terenie rozbudowywanego węzła na ul. Węglowej planuje się uzupełnienie poziomu „zero”, na którym oprócz miejsc dla autobusów przewiduje się lokalizację punktów gastronomicznych, dodatkowych kas biletowych lub automatycznych biletomatów oraz toalet dla podróżnych. W pozostałej przestrzeni, obecnie wybetonowanej planuje się zwiększenie zieleni w postaci przyjaznych dla pasażerów miejsc odpoczynku, wyposażonych w ławki oraz zadaszone, dające w słoneczne dni cień zielone wiaty. Takie rozwiązanie zwiększy efektywność wykorzystania przestrzeni publicznej oraz będzie miało aspekt proekologiczny. Dodatkowym rozwiązaniem, zwiększającym możliwości przepływu pieszych potoków pasażerskich (uwzględniającym potrzeby osób z problemami ruchowymi) z i do Centrum Przesiadkowego, jest planowane naziemne przejście dla pieszych z zastosowaniem inteligentnej sygnalizacji świetlnej. Takie rozwiązanie umożliwi również nadanie priorytetu dla autobusów komunikacji zbiorowej włączających się do ruchu z Centrum Przesiadkowego w obciążoną już dziś znacznie drogę krajową nr 91.</w:t>
      </w:r>
    </w:p>
    <w:p>
      <w:pPr>
        <w:pStyle w:val="Normal"/>
        <w:spacing w:lineRule="auto" w:line="276"/>
        <w:jc w:val="both"/>
        <w:rPr>
          <w:b/>
          <w:bCs/>
        </w:rPr>
      </w:pPr>
      <w:r>
        <w:rPr/>
        <w:t xml:space="preserve">Przebudowa i rozbudowa istniejącego Centrum Przesiadkowego w multimodalny węzeł przesiadkowy z dostosowaniem do aktualnych natężeń potoków pasażerskich wraz z budową parkingu kubaturowego na ul. Węglowej oraz połączeniem z drogą krajową (nr 91) i ul. Węglową zapewni maksymalne zwiększenie wykorzystania alternatywnych dla indywidualnego środków transportu. </w:t>
        <w:br/>
        <w:t>Na ul. Węglowej powstanie dzięki temu w sumie ok. 300 miejsc parkingowych zlokalizowanych</w:t>
        <w:br/>
        <w:t xml:space="preserve"> w bezpośredniej odległości od dworca kolejowo- autobusowego, co w znacznym stopniu wpłynie </w:t>
        <w:br/>
        <w:t xml:space="preserve">na możliwość rozwoju transportu zintegrowanego, w wyniku korzystania z alternatywnych dla indywidualnego ruchu samochodowego środków transportu (autobusy miejskie i pozamiejskie, pociągi, rowery miejskie). Na poziomie „0” zlokalizowana będzie monitorowana, zadaszona wiata dla rowerów, rowerów elektrycznych i hulajnóg wraz z panelami fotowoltaicznymi do zasilania ładowarek, parking dla pojazdów osób z niepełnosprawnościami, wydzielone miejsca dla autobusów oraz postój taxi. Pozostała, dziś zabetonowana, przestrzeń zostanie zagospodarowana w formie terenów biologicznie czynnych, umożliwiających wypoczynek pasażerom oczekującym na podróż. Na poziomie -1 zlokalizowany będzie parking dla pozostałych pojazdów.  Po stronie istniejącego Centrum Przesiadkowego, planowane jest dostosowanie istniejącej części obsługującej autobusy tak, </w:t>
        <w:br/>
        <w:t xml:space="preserve">aby możliwa była jak najbardziej efektywna obsługa linii dalekobieżnych – adaptacja obecnego placu manewrowego oraz parkingu na dodatkowe stanowiska odjazdów/przyjazdów pasażerów.  Aby zoptymalizować wykorzystanie miejsc dla komunikacji zbiorowej, maksymalnie skrócić czas przemieszczania się tych pojazdów z istniejącego węzła do stanowiących integralną jego część stanowisk postojowych na ul. Węglowej oraz zapewnić komfort podróżnym korzystającym </w:t>
        <w:br/>
        <w:t xml:space="preserve">z możliwości węzła multimodalnego, niezbędnym będzie wybudowanie podziemnego połączenia parkingu z drogą krajową nr 91 z parkingiem i drugim wjazdem od strony ul. Węglowej. Zastosowanie systemu identyfikacji pojazdów wjeżdżających na węzeł pozwoli na bardziej efektywne monitorowanie obiektów wyposażonych w dedykowane wjazdy i wyjazdy, w szczególności na terenie przystanków autobusowych zarówno komunikacji miejskiej, jak i międzymiastowej oraz węzła przesiadkowego celem zapewnienia przepustowości przystanków oraz zwiększenia nadzoru nad prawidłowością wykorzystywania przystanków przez przewoźników. System zabezpieczał będzie również przed korzystaniem z przystanków przez podmioty nieuprawnione. </w:t>
      </w:r>
    </w:p>
    <w:p>
      <w:pPr>
        <w:pStyle w:val="Normal"/>
        <w:spacing w:lineRule="auto" w:line="276"/>
        <w:rPr/>
      </w:pPr>
      <w:r>
        <w:rPr/>
      </w:r>
    </w:p>
    <w:p>
      <w:pPr>
        <w:pStyle w:val="Poziomost"/>
        <w:numPr>
          <w:ilvl w:val="0"/>
          <w:numId w:val="0"/>
        </w:numPr>
        <w:ind w:left="1418" w:hanging="799"/>
        <w:rPr>
          <w:rFonts w:eastAsia="Times New Roman"/>
        </w:rPr>
      </w:pPr>
      <w:bookmarkStart w:id="57" w:name="_Toc143161894"/>
      <w:r>
        <w:rPr>
          <w:rFonts w:eastAsia="Times New Roman"/>
        </w:rPr>
        <w:t>2.4.3. Drogi rowerowe</w:t>
      </w:r>
      <w:bookmarkEnd w:id="57"/>
    </w:p>
    <w:p>
      <w:pPr>
        <w:pStyle w:val="Normal"/>
        <w:spacing w:lineRule="auto" w:line="276"/>
        <w:jc w:val="both"/>
        <w:rPr/>
      </w:pPr>
      <w:r>
        <w:rPr/>
        <w:t xml:space="preserve">Drogi rowerowe coraz częściej stają się nieodzownym elementem krajobrazu zarówno miejskiego, </w:t>
        <w:br/>
        <w:t xml:space="preserve">jak i wiejskiego. Coraz częściej zauważa się także wzrost wykorzystania roweru jako środka transportu i turystyki. Coraz powszechniejsze wykorzystywanie roweru wymaga dalszego rozwoju bezpiecznej </w:t>
        <w:br/>
        <w:t>i funkcjonalnej infrastruktury komunikacyjnej dedykowanej temu środkowi transportu. Infrastruktury, która z jednej strony przyczyni się do ograniczania emisji zanieczyszczeń do powietrza, a z drugiej wywoła impuls do rozwoju i promowania aktywnych form mobilności. Problemem obszaru jest jednak niewystarczający rozwój infrastruktury rowerowej, co wpływa ograniczająco na wykorzystanie roweru jako środka transportu. W związku z tym dostrzega się potrzebę realizacji kompleksowych działań na rzecz wsparcia rozwoju infrastruktury rowerowej, infrastruktury zintegrowanej z drogami rowerowym (m.in. wiat postojowych, parkingów, stojaków rowerowych, systemów zabezpieczających, oznaczeń poziomych, tablic informacyjnych, oświetlenia oraz urządzeń bezpieczeństwa ruchu drogowego BRD), a także działań informacyjno-promocyjnych podnoszących świadomość mieszkańców w zakresie odpowiedzialności społecznej za jakość środowiska naturalnego, a także efekty podejmowanych działań.</w:t>
      </w:r>
    </w:p>
    <w:p>
      <w:pPr>
        <w:pStyle w:val="Normal"/>
        <w:spacing w:lineRule="auto" w:line="276"/>
        <w:jc w:val="both"/>
        <w:rPr/>
      </w:pPr>
      <w:r>
        <w:rPr/>
        <w:t>W zakresie rozwoju transportu rowerowego na terenie województwa identyfikuje się 3 największe potrzeby związane z infrastrukturą rowerową. Są to potrzeby związane z: likwidacją luk w istniejącej sieci infrastruktury rowerowej, potrzeby infrastrukturalne na obszarach miejskich, w tym także potrzeby związane z realizacją dróg rowerowych w relacji obszary wiejskie – miasto, w celu zwiększenia dostępu do usług publicznych oraz potrzeby związane z rozwojem infrastruktury rowerowej poprawiającej dostępność do obiektów i atrakcji turystycznych. Budowa kluczowych odcinków dróg rowerowych, które uzupełnią brakujące elementy infrastruktury rowerowej wpłynie przede wszystkim na poprawę ciągłości i zwiększenie spójności sieci dróg rowerowych oraz poprzez odseparowanie ruchu rowerowego od samochodowego przyczyni się do zwiększenia bezpieczeństwa wszystkich uczestników ruchu drogowego. Spójne, bezpieczne i atrakcyjne trasy rowerowe mogą sprawić, że więcej osób zdecyduje się na wybór roweru jako środka transportu, co przełoży się m.in. na poprawę jakości powietrza i ogólny stan zdrowia mieszkańców. Inwestycje na obszarach miejskich umożliwią szybszą jazdę na długich odcinkach miejskich, bezpieczny i wygodny wyjazd z miasta, a także umożliwią skuteczniejsze połączenie miasta z obszarami podmiejskimi. Budowa ścieżek prowadzących do atrakcji turystycznych sprzyjać będzie rozwojowi funkcji turystycznej na terenie obszaru, a także przyczynić się może do wzrostu lokalnego potencjału gospodarczego.</w:t>
      </w:r>
    </w:p>
    <w:p>
      <w:pPr>
        <w:pStyle w:val="Normal"/>
        <w:spacing w:lineRule="auto" w:line="276"/>
        <w:jc w:val="both"/>
        <w:rPr/>
      </w:pPr>
      <w:r>
        <w:rPr/>
        <w:t xml:space="preserve">Na terenie MOF Włocławka identyfikuje się potrzeby związane z likwidacją luk w istniejącej sieci infrastruktury pieszo-rowerowej, potrzeby infrastrukturalne na obszarach miast, potrzeby służące połączeniu miast z obszarami wiejskimi oraz potrzeby związane z rozwojem infrastruktury rowerowej poprawiającej dostępność do obiektów i atrakcji turystycznych, co przyczyni się do </w:t>
      </w:r>
      <w:r>
        <w:rPr>
          <w:szCs w:val="24"/>
        </w:rPr>
        <w:t xml:space="preserve">zwiększenia potencjału turystycznego i wzmacniania powiązań turystycznych na terenie MOF Włocławka. </w:t>
      </w:r>
      <w:r>
        <w:rPr/>
        <w:t xml:space="preserve">Niedobory w zakresie dróg rowerowych związane są także z brakiem małej infrastruktury towarzyszącej drogom rowerowym. </w:t>
      </w:r>
    </w:p>
    <w:p>
      <w:pPr>
        <w:pStyle w:val="Normal"/>
        <w:spacing w:lineRule="auto" w:line="276"/>
        <w:jc w:val="both"/>
        <w:rPr>
          <w:rFonts w:cs="Calibri" w:cstheme="minorHAnsi"/>
        </w:rPr>
      </w:pPr>
      <w:r>
        <w:rPr>
          <w:rFonts w:cs="Calibri" w:cstheme="minorHAnsi"/>
        </w:rPr>
        <w:t xml:space="preserve">Potrzeby infrastrukturalne związane z likwidacją luk </w:t>
      </w:r>
      <w:r>
        <w:rPr/>
        <w:t>w istniejącej sieci infrastruktury pieszo-rowerowej</w:t>
      </w:r>
      <w:r>
        <w:rPr>
          <w:rFonts w:cs="Calibri" w:cstheme="minorHAnsi"/>
        </w:rPr>
        <w:t xml:space="preserve"> szczególnie dostrzegalne są we Włocławku. Brak części elementów infrastruktury rowerowej utrudnia dobrą dostępność komunikacyjną na obszarze całego miasta. Budowa kluczowych odcinków dróg rowerowych, które uzupełnią brakujące elementy infrastruktury rowerowej w różnych częściach miasta pozwoli na zachowanie spójności i ciągłości głównych tras rowerowych, zwłaszcza że na terenie miasta funkcjonował do 2022r. system Włocławskiego Roweru Miejskiego („Włower”). System umożliwiał bezobsługowe wypożyczenie roweru przez co ułatwiało </w:t>
      </w:r>
      <w:r>
        <w:rPr>
          <w:rFonts w:cs="Calibri" w:cstheme="minorHAnsi"/>
          <w:shd w:fill="FFFFFF" w:val="clear"/>
        </w:rPr>
        <w:t>szybkie i sprawne poruszanie się</w:t>
        <w:br/>
        <w:t xml:space="preserve"> w przestrzeni publicznej mieszkańcom miasta, ale także </w:t>
      </w:r>
      <w:r>
        <w:rPr>
          <w:rFonts w:cs="Calibri" w:cstheme="minorHAnsi"/>
        </w:rPr>
        <w:t xml:space="preserve">mieszkańcom obszaru funkcjonalnego przyjeżdzającym do Włocławka (w celu zaspokajania potrzeb zawodowych i korzystania z usług) oraz turystom odwiedzającym miasto. W 2023r. wdrożony został program dopłat do zakupu rowerów dla mieszkańców Włocławka. Od 2019r. na terenie Gminy Brześć Kujawski funkcjonuje Brzeski Rower Miejski, który cieszy się dużym powodzeniem wśród mieszkańców.  </w:t>
      </w:r>
    </w:p>
    <w:p>
      <w:pPr>
        <w:pStyle w:val="Normal"/>
        <w:spacing w:lineRule="auto" w:line="276"/>
        <w:jc w:val="both"/>
        <w:rPr/>
      </w:pPr>
      <w:r>
        <w:rPr/>
        <w:t xml:space="preserve">Budowa wszystkich kluczowych odcinków dróg rowerowych na terenie MOF wpłynie przede wszystkim na zwiększenie spójności sieci dróg rowerowych, poprawę bezpieczeństwa ruchu, ale także </w:t>
        <w:br/>
        <w:t>na poprawę atrakcyjności turystycznej regionu.</w:t>
      </w:r>
    </w:p>
    <w:p>
      <w:pPr>
        <w:pStyle w:val="Normal"/>
        <w:rPr/>
      </w:pPr>
      <w:r>
        <w:rPr/>
      </w:r>
    </w:p>
    <w:p>
      <w:pPr>
        <w:pStyle w:val="Poziomost"/>
        <w:numPr>
          <w:ilvl w:val="0"/>
          <w:numId w:val="0"/>
        </w:numPr>
        <w:ind w:left="1418" w:hanging="851"/>
        <w:rPr/>
      </w:pPr>
      <w:bookmarkStart w:id="58" w:name="_Toc143161895"/>
      <w:r>
        <w:rPr/>
        <w:t xml:space="preserve">2.4.4. </w:t>
      </w:r>
      <w:bookmarkStart w:id="59" w:name="_Hlk134171423"/>
      <w:r>
        <w:rPr/>
        <w:t>Najważniejsze wnioski wynikające z Planu Zrównoważonej Mobilności Miejskiej (SUMP)</w:t>
      </w:r>
      <w:bookmarkEnd w:id="58"/>
      <w:bookmarkEnd w:id="59"/>
    </w:p>
    <w:p>
      <w:pPr>
        <w:pStyle w:val="Normal"/>
        <w:spacing w:lineRule="auto" w:line="276"/>
        <w:jc w:val="both"/>
        <w:rPr/>
      </w:pPr>
      <w:r>
        <w:rPr/>
        <w:t>Na podstawie diagnozy sytuacji mobilności we WŁOF w ramach Planu Zrównoważonej Mobilności Miejskiej KUJAWY 2035 sformułowano trzy scenariusze możliwych kierunków zmian oraz oceniono konsekwencje braku zmian w polityce mobilności – scenariusz referencyjny.</w:t>
      </w:r>
    </w:p>
    <w:p>
      <w:pPr>
        <w:pStyle w:val="Normal"/>
        <w:spacing w:lineRule="auto" w:line="276"/>
        <w:jc w:val="both"/>
        <w:rPr/>
      </w:pPr>
      <w:r>
        <w:rPr/>
        <w:t xml:space="preserve">W warunkach złożonej sytuacji politycznej i społecznej, nie jesteśmy jednak dziś w stanie przewidzieć wszystkiego, co będzie wpływało na system mobilności we Włocławku i jego otoczeniu w przyszłości. Wiemy jednak, że założenia planu muszą wpisywać się w ramy Europejskiego Zielonego Ładu. W 2035 r. w Polsce ma obowiązywać zakaz sprzedaży nowych samochodów spalinowych, znamy główne kierunki polityki europejskiej – do 2050 r. emisje z transportu w Unii Europejskiej mają spaść o 90%. </w:t>
      </w:r>
    </w:p>
    <w:p>
      <w:pPr>
        <w:pStyle w:val="Normal"/>
        <w:spacing w:lineRule="auto" w:line="276"/>
        <w:jc w:val="both"/>
        <w:rPr/>
      </w:pPr>
      <w:r>
        <w:rPr/>
        <w:t>Posiadamy też informacje na temat najważniejszych tendencji demograficzno-przestrzennych obszaru i wiemy, że w perspektywie realizacji planu możemy oczekiwać istotnego wzrostu gospodarczego</w:t>
        <w:br/>
        <w:t xml:space="preserve"> OF Włocławka. Możemy spodziewać się, że zwiększać się będzie znaczenie paliw alternatywnych</w:t>
        <w:br/>
        <w:t xml:space="preserve"> i odnawialnych źródeł energii, a ceny energii pochodzącej z paliw kopalnych (także w transporcie) będą rosły – zarówno za sprawą czynników rynkowych, jak i polityki klimatycznej. </w:t>
      </w:r>
    </w:p>
    <w:p>
      <w:pPr>
        <w:pStyle w:val="Normal"/>
        <w:spacing w:lineRule="auto" w:line="276"/>
        <w:jc w:val="both"/>
        <w:rPr/>
      </w:pPr>
      <w:r>
        <w:rPr/>
        <w:t>Osiągnięcie zakładanych celów planu wymaga myślenia długoterminowego i przewidywania wyzwań, które w przyszłości zrodzą obecne tendencje. Na wszystkie wyzwania obszaru nie da się odpowiedzieć w kilka lat, ponadto w planie musimy przewidzieć odpowiedzi na kwestie, które dziś nie są jeszcze naglące, ale za kilka lat będą. Z tego względu wypracowaliśmy trzy scenariusze rozwoju systemu mobilności WŁOF do 2035 r. oraz punkt odniesienia – scenariusz referencyjny.</w:t>
      </w:r>
    </w:p>
    <w:tbl>
      <w:tblPr>
        <w:tblStyle w:val="Tabela-Siatka"/>
        <w:tblW w:w="5000" w:type="pct"/>
        <w:jc w:val="left"/>
        <w:tblInd w:w="0" w:type="dxa"/>
        <w:tblLayout w:type="fixed"/>
        <w:tblCellMar>
          <w:top w:w="0" w:type="dxa"/>
          <w:left w:w="108" w:type="dxa"/>
          <w:bottom w:w="0" w:type="dxa"/>
          <w:right w:w="108" w:type="dxa"/>
        </w:tblCellMar>
        <w:tblLook w:firstRow="1" w:noVBand="1" w:lastRow="0" w:firstColumn="0" w:lastColumn="0" w:noHBand="0" w:val="0420"/>
      </w:tblPr>
      <w:tblGrid>
        <w:gridCol w:w="2136"/>
        <w:gridCol w:w="2660"/>
        <w:gridCol w:w="2136"/>
        <w:gridCol w:w="2137"/>
      </w:tblGrid>
      <w:tr>
        <w:trPr>
          <w:tblHeader w:val="true"/>
        </w:trPr>
        <w:tc>
          <w:tcPr>
            <w:tcW w:w="2136" w:type="dxa"/>
            <w:tcBorders>
              <w:top w:val="nil"/>
              <w:left w:val="nil"/>
              <w:bottom w:val="nil"/>
              <w:right w:val="nil"/>
            </w:tcBorders>
            <w:shd w:color="auto" w:fill="F2F2F2" w:themeFill="background1" w:themeFillShade="f2" w:val="clear"/>
            <w:vAlign w:val="center"/>
          </w:tcPr>
          <w:p>
            <w:pPr>
              <w:pStyle w:val="Normal"/>
              <w:widowControl/>
              <w:spacing w:lineRule="auto" w:line="276" w:before="120" w:after="160"/>
              <w:jc w:val="left"/>
              <w:rPr>
                <w:rFonts w:eastAsia="Times New Roman" w:cs="Calibri"/>
                <w:b/>
                <w:bCs/>
                <w:lang w:eastAsia="pl-PL"/>
              </w:rPr>
            </w:pPr>
            <w:r>
              <w:rPr>
                <w:rFonts w:eastAsia="Times New Roman" w:cs="Calibri"/>
                <w:b/>
                <w:bCs/>
                <w:kern w:val="0"/>
                <w:sz w:val="22"/>
                <w:szCs w:val="22"/>
                <w:lang w:val="pl-PL" w:eastAsia="pl-PL" w:bidi="ar-SA"/>
              </w:rPr>
              <w:t>SCENARIUSZ REFERENCYJNY</w:t>
            </w:r>
          </w:p>
        </w:tc>
        <w:tc>
          <w:tcPr>
            <w:tcW w:w="2660" w:type="dxa"/>
            <w:tcBorders>
              <w:top w:val="nil"/>
              <w:left w:val="nil"/>
              <w:bottom w:val="nil"/>
              <w:right w:val="nil"/>
            </w:tcBorders>
            <w:shd w:color="auto" w:fill="DBE5F1" w:themeFill="accent1" w:themeFillTint="33" w:val="clear"/>
            <w:vAlign w:val="center"/>
          </w:tcPr>
          <w:p>
            <w:pPr>
              <w:pStyle w:val="Normal"/>
              <w:widowControl/>
              <w:spacing w:lineRule="auto" w:line="276" w:before="120" w:after="160"/>
              <w:jc w:val="left"/>
              <w:rPr>
                <w:rFonts w:eastAsia="Times New Roman" w:cs="Calibri"/>
                <w:b/>
                <w:bCs/>
                <w:lang w:eastAsia="pl-PL"/>
              </w:rPr>
            </w:pPr>
            <w:r>
              <w:rPr>
                <w:rFonts w:eastAsia="Times New Roman" w:cs="Calibri"/>
                <w:b/>
                <w:bCs/>
                <w:kern w:val="0"/>
                <w:sz w:val="22"/>
                <w:szCs w:val="22"/>
                <w:lang w:val="pl-PL" w:eastAsia="pl-PL" w:bidi="ar-SA"/>
              </w:rPr>
              <w:t>SCENARIUSZ KOMPROMISOWY</w:t>
            </w:r>
          </w:p>
        </w:tc>
        <w:tc>
          <w:tcPr>
            <w:tcW w:w="2136" w:type="dxa"/>
            <w:tcBorders>
              <w:top w:val="nil"/>
              <w:left w:val="nil"/>
              <w:bottom w:val="nil"/>
              <w:right w:val="nil"/>
            </w:tcBorders>
            <w:shd w:color="auto" w:fill="C6D9F1" w:themeFill="text2" w:themeFillTint="33" w:val="clear"/>
            <w:vAlign w:val="center"/>
          </w:tcPr>
          <w:p>
            <w:pPr>
              <w:pStyle w:val="Normal"/>
              <w:widowControl/>
              <w:spacing w:lineRule="auto" w:line="276" w:before="120" w:after="160"/>
              <w:jc w:val="left"/>
              <w:rPr>
                <w:rFonts w:eastAsia="Times New Roman" w:cs="Calibri"/>
                <w:b/>
                <w:bCs/>
                <w:lang w:eastAsia="pl-PL"/>
              </w:rPr>
            </w:pPr>
            <w:r>
              <w:rPr>
                <w:rFonts w:eastAsia="Times New Roman" w:cs="Calibri"/>
                <w:b/>
                <w:bCs/>
                <w:kern w:val="0"/>
                <w:sz w:val="22"/>
                <w:szCs w:val="22"/>
                <w:lang w:val="pl-PL" w:eastAsia="pl-PL" w:bidi="ar-SA"/>
              </w:rPr>
              <w:t>SCENARIUSZ ANGAŻUJĄCY</w:t>
            </w:r>
          </w:p>
        </w:tc>
        <w:tc>
          <w:tcPr>
            <w:tcW w:w="2137" w:type="dxa"/>
            <w:tcBorders>
              <w:top w:val="nil"/>
              <w:left w:val="nil"/>
              <w:bottom w:val="nil"/>
              <w:right w:val="nil"/>
            </w:tcBorders>
            <w:shd w:color="auto" w:fill="E5DFEC" w:themeFill="accent4" w:themeFillTint="33" w:val="clear"/>
            <w:vAlign w:val="center"/>
          </w:tcPr>
          <w:p>
            <w:pPr>
              <w:pStyle w:val="Normal"/>
              <w:widowControl/>
              <w:spacing w:lineRule="auto" w:line="276" w:before="120" w:after="160"/>
              <w:jc w:val="left"/>
              <w:rPr>
                <w:rFonts w:eastAsia="Times New Roman" w:cs="Calibri"/>
                <w:b/>
                <w:bCs/>
                <w:lang w:eastAsia="pl-PL"/>
              </w:rPr>
            </w:pPr>
            <w:r>
              <w:rPr>
                <w:rFonts w:eastAsia="Times New Roman" w:cs="Calibri"/>
                <w:b/>
                <w:bCs/>
                <w:kern w:val="0"/>
                <w:sz w:val="22"/>
                <w:szCs w:val="22"/>
                <w:lang w:val="pl-PL" w:eastAsia="pl-PL" w:bidi="ar-SA"/>
              </w:rPr>
              <w:t>SCENARIUSZ ZIELONEGO ŁADU</w:t>
            </w:r>
          </w:p>
        </w:tc>
      </w:tr>
      <w:tr>
        <w:trPr/>
        <w:tc>
          <w:tcPr>
            <w:tcW w:w="2136" w:type="dxa"/>
            <w:tcBorders>
              <w:top w:val="nil"/>
              <w:left w:val="nil"/>
              <w:bottom w:val="nil"/>
              <w:right w:val="nil"/>
            </w:tcBorders>
            <w:shd w:color="auto" w:fill="F2F2F2" w:themeFill="background1" w:themeFillShade="f2" w:val="clear"/>
            <w:vAlign w:val="center"/>
          </w:tcPr>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Chaos przestrzenny będzie się pogłębiał, co przełoży się na duży wzrost kosztów finansowych, społecznych i środowiskowych związanych z dojazdami.</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Transport publiczny (w tym kolej) nie będzie realną alternatywą dla samochodów, a rozwój ruchu pieszego i rowerowego będzie ograniczany przez brak realizacji spójnej wizji jego rozwoju.</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Ulice będą stopniowo coraz bezpieczniejsze, jednak ze względu na ich zatłoczenie nie będzie można uznać ich za przyjazne. Logistyka będzie rozwijała się w dotychczasowym modelu.</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Nie będzie wspólnego zarządzania ofertą mobilności i daleko idącej współpracy samorządów. Wydane zostaną duże środki (przede wszystkim na drogi), jednak nie przyniesie to wymiernych efektów w postaci zmiany zachowań komunikacyjnych.</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Obszar nie będzie gotowy na Europejski Zielony Ład w sferze transportu do 2035 r.</w:t>
            </w:r>
          </w:p>
        </w:tc>
        <w:tc>
          <w:tcPr>
            <w:tcW w:w="2660" w:type="dxa"/>
            <w:tcBorders>
              <w:top w:val="nil"/>
              <w:left w:val="nil"/>
              <w:bottom w:val="nil"/>
              <w:right w:val="nil"/>
            </w:tcBorders>
            <w:shd w:color="auto" w:fill="DBE5F1" w:themeFill="accent1" w:themeFillTint="33" w:val="clear"/>
            <w:vAlign w:val="center"/>
          </w:tcPr>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Będziemy odpowiadać na skutki procesów przestrzennych i transportowych z pewną skutecznością. Osiągnięty zostanie najważniejszy cel planu: transport publiczny stanie się jednym z wyborów w podróżach po WŁOF, jednak jego uprzywilejowanie nie będzie konsekwentne, przez co efekty działań zostaną ograniczone.</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Istotnie poprawi się bezpieczeństwo w ruchu drogowym, a obszar będzie gotowy na zmiany w logistyce.</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Powstanie jeden organizator transportu publicznego w WŁOF, który wypełni większość swoich zadań, jednak współpraca będzie trudna.</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Po realizacji kluczowych inwestycji w perspektywie 2030+ znaczenie ruchu rowerowego, pieszego i transportu publicznego nieznacznie wzrośnie.</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Obszar będzie częściowo gotowy na Europejski Zielony Ład w sferze transportu w 2035 r.</w:t>
            </w:r>
          </w:p>
        </w:tc>
        <w:tc>
          <w:tcPr>
            <w:tcW w:w="2136" w:type="dxa"/>
            <w:tcBorders>
              <w:top w:val="nil"/>
              <w:left w:val="nil"/>
              <w:bottom w:val="nil"/>
              <w:right w:val="nil"/>
            </w:tcBorders>
            <w:shd w:color="auto" w:fill="C6D9F1" w:themeFill="text2" w:themeFillTint="33" w:val="clear"/>
            <w:vAlign w:val="center"/>
          </w:tcPr>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Większość budynków będzie powstawało w miejscach, gdzie istnieją perspektywy przyjaznej dla środowiska obsługi komunikacyjnej.</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Transport publiczny będzie najbardziej atrakcyjnym wyborem w kluczowych relacjach ze względu na jego uprzywilejowanie. Wzrośnie atrakcyjność poruszania się rowerem i ruchu pieszego. Istotnie poprawi się bezpieczeństwo w ruchu drogowym, a obszar będzie gotowy na zmiany w logistyce.</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Powstanie jeden organizator transportu publicznego w WŁOF, który wypełni wszystkie swoje zadania. Postrzeganie mobilności przez mieszkańców mocno się zmieni, co wpłynie na istotną zmianę zachowań komunikacyjnych.</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Obszar będzie przeważająco gotowy na Europejski Zielony Ład w sferze transportu w 2035 r.</w:t>
            </w:r>
          </w:p>
        </w:tc>
        <w:tc>
          <w:tcPr>
            <w:tcW w:w="2137" w:type="dxa"/>
            <w:tcBorders>
              <w:top w:val="nil"/>
              <w:left w:val="nil"/>
              <w:bottom w:val="nil"/>
              <w:right w:val="nil"/>
            </w:tcBorders>
            <w:shd w:color="auto" w:fill="E5DFEC" w:themeFill="accent4" w:themeFillTint="33" w:val="clear"/>
            <w:vAlign w:val="center"/>
          </w:tcPr>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Dzięki poprawie jakości planowania przestrzennego rozwój zabudowy będzie w większości spójny z siecią efektywnego finansowo i uprzywilejowanego systemu transportu zbiorowego, którego kręgosłupem będzie sprawnie działająca kolej.</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Zrealizowane zostaną duże inwestycje, których wyraźnym priorytetem będzie zmiana zachowań komunikacyjnych mieszkańców.</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Wyraźnie wzrośnie udział podróży pieszych i rowerowych.</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System transportu publicznego w WŁOF będzie jednym z najlepiej zintegrowanych i zorganizowanych w Polsce.</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W WŁOF osiągnięte zostaną niemal wszystkie cele krajowych i europejskich dokumentów strategicznych w zakresie polityki transportowej.</w:t>
            </w:r>
          </w:p>
          <w:p>
            <w:pPr>
              <w:pStyle w:val="Normal"/>
              <w:widowControl/>
              <w:spacing w:lineRule="auto" w:line="276" w:before="120" w:after="160"/>
              <w:jc w:val="left"/>
              <w:rPr>
                <w:rFonts w:eastAsia="Times New Roman" w:cs="Calibri"/>
                <w:lang w:eastAsia="pl-PL"/>
              </w:rPr>
            </w:pPr>
            <w:r>
              <w:rPr>
                <w:rFonts w:eastAsia="Times New Roman" w:cs="Calibri"/>
                <w:kern w:val="0"/>
                <w:sz w:val="22"/>
                <w:szCs w:val="22"/>
                <w:lang w:val="pl-PL" w:eastAsia="pl-PL" w:bidi="ar-SA"/>
              </w:rPr>
              <w:t>Obszar będzie zasadniczo gotowy na Europejski Zielony Ład w sferze transportu w 2035 r.</w:t>
            </w:r>
          </w:p>
        </w:tc>
      </w:tr>
    </w:tbl>
    <w:p>
      <w:pPr>
        <w:pStyle w:val="Normal"/>
        <w:spacing w:lineRule="auto" w:line="276" w:before="120" w:after="160"/>
        <w:rPr>
          <w:rFonts w:ascii="Cambria" w:hAnsi="Cambria" w:eastAsia="Times New Roman" w:cs="Times New Roman" w:asciiTheme="majorHAnsi" w:hAnsiTheme="majorHAnsi"/>
          <w:b/>
          <w:color w:val="76923C" w:themeColor="accent3" w:themeShade="bf"/>
        </w:rPr>
      </w:pPr>
      <w:r>
        <w:rPr>
          <w:rFonts w:eastAsia="Times New Roman" w:cs="Times New Roman" w:ascii="Cambria" w:hAnsi="Cambria"/>
          <w:b/>
          <w:color w:val="76923C" w:themeColor="accent3" w:themeShade="bf"/>
        </w:rPr>
      </w:r>
    </w:p>
    <w:p>
      <w:pPr>
        <w:pStyle w:val="Normal"/>
        <w:spacing w:lineRule="auto" w:line="276"/>
        <w:jc w:val="both"/>
        <w:rPr/>
      </w:pPr>
      <w:r>
        <w:rPr/>
        <w:t>Z każdym celem strategicznym związane są konkretne pakiety działań, które mają przynieść mierzalne efekty. Planowanie długoterminowe musi jednak mieć elastyczny charakter, a zmieniająca się sytuacja wpływać na aktualizację zapisów planu.  Scenariusz referencyjny jest tłem dla zmian kierunku polityki mobilności, które wyznaczają poszczególne scenariusze Planu. Każdy kolejny scenariusz wyznacza zestawy coraz skuteczniejszych środków, które mają doprowadzić do zmian w systemie mobilności. Plan zrównoważonej mobilności nie jest listą niewykonalnych postulatów, pożądanych inwestycji czy życzeń. Skuteczne zmiany zachowań komunikacyjnych nie zawsze muszą wiązać się z dużymi wydatkami,</w:t>
      </w:r>
      <w:r>
        <w:rPr>
          <w:b/>
        </w:rPr>
        <w:t xml:space="preserve"> </w:t>
      </w:r>
      <w:r>
        <w:rPr/>
        <w:t xml:space="preserve">ale z odważnymi decyzjami politycznymi czy świetną współpracą pomiędzy samorządami </w:t>
        <w:br/>
        <w:t>i rządem. W scenariuszu zielonego ładu koszt przewiezienia jednego pasażera na odległość jednego kilometra przez autobus komunikacji podmiejskiej byłby najniższy, zaś koszty związane z deficytem ładu przestrzennego byłyby najmniejsze. W ujęciu wszystkich kosztów nie jest to więc scenariusz najdroższy. W scenariuszu referencyjnym koszty zmian w transporcie odczują przede wszystkim najmniej zamożni mieszkańcy obszaru, scenariusz zielonego ładu zakłada zaś najbardziej sprawiedliwą transformację. Scenariusz kompromisowy zakładał najmniej trudne politycznie cale, scenariusz zielonego ładu – potencjalnie najbardziej kontrowersyjne i wymagające największej współpracy.</w:t>
      </w:r>
    </w:p>
    <w:p>
      <w:pPr>
        <w:pStyle w:val="Normal"/>
        <w:spacing w:lineRule="auto" w:line="276"/>
        <w:jc w:val="both"/>
        <w:rPr/>
      </w:pPr>
      <w:r>
        <w:rPr/>
        <w:t>Za sukces realizacji planu zrównoważonej mobilności należy uznać sytuację, w której wartości kluczowych wskaźników zbliżone są do scenariuszy przewidzianych przez SUMP i nie powielają scenariusza referencyjnego.</w:t>
      </w:r>
    </w:p>
    <w:p>
      <w:pPr>
        <w:pStyle w:val="Normal"/>
        <w:spacing w:lineRule="auto" w:line="240" w:before="0" w:after="0"/>
        <w:rPr>
          <w:rFonts w:eastAsia="Times New Roman" w:cs="Calibri"/>
        </w:rPr>
      </w:pPr>
      <w:r>
        <w:rPr>
          <w:rFonts w:eastAsia="Times New Roman" w:cs="Calibri"/>
        </w:rPr>
      </w:r>
    </w:p>
    <w:p>
      <w:pPr>
        <w:pStyle w:val="Normal"/>
        <w:spacing w:lineRule="auto" w:line="240" w:before="0" w:after="0"/>
        <w:rPr>
          <w:rFonts w:eastAsia="Times New Roman" w:cs="Calibri"/>
        </w:rPr>
      </w:pPr>
      <w:r>
        <w:rPr>
          <w:rFonts w:eastAsia="Times New Roman" w:cs="Calibri"/>
        </w:rPr>
      </w:r>
    </w:p>
    <w:p>
      <w:pPr>
        <w:pStyle w:val="Normal"/>
        <w:spacing w:lineRule="auto" w:line="240" w:before="0" w:after="0"/>
        <w:rPr>
          <w:rFonts w:eastAsia="Times New Roman" w:cs="Calibri"/>
        </w:rPr>
      </w:pPr>
      <w:r>
        <w:rPr>
          <w:rFonts w:eastAsia="Times New Roman" w:cs="Calibri"/>
        </w:rPr>
      </w:r>
    </w:p>
    <w:p>
      <w:pPr>
        <w:pStyle w:val="Normal"/>
        <w:spacing w:lineRule="auto" w:line="240" w:before="0" w:after="0"/>
        <w:rPr>
          <w:rFonts w:eastAsia="Times New Roman" w:cs="Calibri"/>
        </w:rPr>
      </w:pPr>
      <w:r>
        <w:rPr>
          <w:rFonts w:eastAsia="Times New Roman" w:cs="Calibri"/>
        </w:rPr>
      </w:r>
    </w:p>
    <w:p>
      <w:pPr>
        <w:pStyle w:val="TytuMAPiTABEL"/>
        <w:rPr/>
      </w:pPr>
      <w:r>
        <w:rPr/>
        <w:t>Tabela 1.  System mobilności WŁOF w 2035 r.</w:t>
      </w:r>
    </w:p>
    <w:tbl>
      <w:tblPr>
        <w:tblStyle w:val="Tabela-Siatk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520"/>
        <w:gridCol w:w="1703"/>
        <w:gridCol w:w="2002"/>
        <w:gridCol w:w="1844"/>
      </w:tblGrid>
      <w:tr>
        <w:trPr/>
        <w:tc>
          <w:tcPr>
            <w:tcW w:w="3520" w:type="dxa"/>
            <w:tcBorders/>
            <w:shd w:color="auto" w:fill="1F497D" w:themeFill="text2"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WSKAŹNIK</w:t>
            </w:r>
          </w:p>
        </w:tc>
        <w:tc>
          <w:tcPr>
            <w:tcW w:w="1703" w:type="dxa"/>
            <w:tcBorders/>
            <w:shd w:color="auto" w:fill="1F497D" w:themeFill="text2"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WARTOŚĆ WYJŚCIOWA [2022]</w:t>
            </w:r>
          </w:p>
        </w:tc>
        <w:tc>
          <w:tcPr>
            <w:tcW w:w="2002" w:type="dxa"/>
            <w:tcBorders/>
            <w:shd w:color="auto" w:fill="1F497D" w:themeFill="text2"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BRAK REALIZACJI PLANU</w:t>
            </w:r>
          </w:p>
        </w:tc>
        <w:tc>
          <w:tcPr>
            <w:tcW w:w="1844" w:type="dxa"/>
            <w:tcBorders/>
            <w:shd w:color="auto" w:fill="1F497D" w:themeFill="text2"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REALIZACJA PLANU</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color w:val="FFFFFF" w:themeColor="background1"/>
                <w:sz w:val="20"/>
                <w:szCs w:val="20"/>
                <w:lang w:eastAsia="pl-PL"/>
              </w:rPr>
            </w:pPr>
            <w:r>
              <w:rPr>
                <w:rFonts w:eastAsia="Times New Roman" w:cs="Calibri"/>
                <w:b/>
                <w:color w:val="FFFFFF" w:themeColor="background1"/>
                <w:kern w:val="0"/>
                <w:sz w:val="20"/>
                <w:szCs w:val="20"/>
                <w:lang w:val="pl-PL" w:eastAsia="pl-PL" w:bidi="ar-SA"/>
              </w:rPr>
              <w:t>Udział zrównoważonych sposobów przemieszczania [%]</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33,5%</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32,2%</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40%</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color w:val="FFFFFF" w:themeColor="background1"/>
                <w:sz w:val="20"/>
                <w:szCs w:val="20"/>
                <w:lang w:eastAsia="pl-PL"/>
              </w:rPr>
            </w:pPr>
            <w:r>
              <w:rPr>
                <w:rFonts w:eastAsia="Times New Roman" w:cs="Calibri"/>
                <w:b/>
                <w:color w:val="FFFFFF" w:themeColor="background1"/>
                <w:kern w:val="0"/>
                <w:sz w:val="20"/>
                <w:szCs w:val="20"/>
                <w:lang w:val="pl-PL" w:eastAsia="pl-PL" w:bidi="ar-SA"/>
              </w:rPr>
              <w:t xml:space="preserve">Wskaźnik motoryzacji </w:t>
            </w:r>
            <w:r>
              <w:rPr>
                <w:rFonts w:eastAsia="Times New Roman" w:cs="Calibri"/>
                <w:b/>
                <w:bCs/>
                <w:color w:val="FFFFFF" w:themeColor="background1"/>
                <w:kern w:val="0"/>
                <w:sz w:val="20"/>
                <w:szCs w:val="20"/>
                <w:lang w:val="pl-PL" w:eastAsia="pl-PL" w:bidi="ar-SA"/>
              </w:rPr>
              <w:t>[</w:t>
            </w:r>
            <w:r>
              <w:rPr>
                <w:rFonts w:eastAsia="Times New Roman" w:cs="Calibri"/>
                <w:b/>
                <w:color w:val="FFFFFF" w:themeColor="background1"/>
                <w:kern w:val="0"/>
                <w:sz w:val="20"/>
                <w:szCs w:val="20"/>
                <w:lang w:val="pl-PL" w:eastAsia="pl-PL" w:bidi="ar-SA"/>
              </w:rPr>
              <w:t>samochody osobowe na 1000 mieszkańców</w:t>
            </w:r>
            <w:r>
              <w:rPr>
                <w:rFonts w:eastAsia="Times New Roman" w:cs="Calibri"/>
                <w:b/>
                <w:bCs/>
                <w:color w:val="FFFFFF" w:themeColor="background1"/>
                <w:kern w:val="0"/>
                <w:sz w:val="20"/>
                <w:szCs w:val="20"/>
                <w:lang w:val="pl-PL" w:eastAsia="pl-PL" w:bidi="ar-SA"/>
              </w:rPr>
              <w:t>]</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668</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679</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630</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Emisje CO2 z systemu transportowego WłOF [</w:t>
            </w:r>
            <w:r>
              <w:rPr>
                <w:rFonts w:eastAsia="Times New Roman" w:cs="Calibri"/>
                <w:b/>
                <w:color w:val="FFFFFF" w:themeColor="background1"/>
                <w:kern w:val="0"/>
                <w:sz w:val="20"/>
                <w:szCs w:val="20"/>
                <w:lang w:val="pl-PL" w:eastAsia="pl-PL" w:bidi="ar-SA"/>
              </w:rPr>
              <w:t>tony CO2eq rocznie na mieszkańca]</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1,75</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1,27</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1,00</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color w:val="FFFFFF" w:themeColor="background1"/>
                <w:sz w:val="20"/>
                <w:szCs w:val="20"/>
                <w:lang w:eastAsia="pl-PL"/>
              </w:rPr>
            </w:pPr>
            <w:r>
              <w:rPr>
                <w:rFonts w:eastAsia="Times New Roman" w:cs="Calibri"/>
                <w:b/>
                <w:bCs/>
                <w:color w:val="FFFFFF" w:themeColor="background1"/>
                <w:kern w:val="0"/>
                <w:sz w:val="20"/>
                <w:szCs w:val="20"/>
                <w:lang w:val="pl-PL" w:eastAsia="pl-PL" w:bidi="ar-SA"/>
              </w:rPr>
              <w:t>Emisje PM2,5 z systemu transportowego WłOF [</w:t>
            </w:r>
            <w:r>
              <w:rPr>
                <w:rFonts w:eastAsia="Times New Roman" w:cs="Calibri"/>
                <w:b/>
                <w:color w:val="FFFFFF" w:themeColor="background1"/>
                <w:kern w:val="0"/>
                <w:sz w:val="20"/>
                <w:szCs w:val="20"/>
                <w:lang w:val="pl-PL" w:eastAsia="pl-PL" w:bidi="ar-SA"/>
              </w:rPr>
              <w:t>kg PM2,5 rocznie na mieszkańca]</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0,68</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0,49</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0,40</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color w:val="FFFFFF" w:themeColor="background1"/>
                <w:sz w:val="20"/>
                <w:szCs w:val="20"/>
                <w:lang w:eastAsia="pl-PL"/>
              </w:rPr>
            </w:pPr>
            <w:r>
              <w:rPr>
                <w:rFonts w:eastAsia="Times New Roman" w:cs="Calibri"/>
                <w:b/>
                <w:color w:val="FFFFFF" w:themeColor="background1"/>
                <w:kern w:val="0"/>
                <w:sz w:val="20"/>
                <w:szCs w:val="20"/>
                <w:lang w:val="pl-PL" w:eastAsia="pl-PL" w:bidi="ar-SA"/>
              </w:rPr>
              <w:t xml:space="preserve">Liczba wypadków drogowych </w:t>
            </w:r>
            <w:r>
              <w:rPr>
                <w:rFonts w:eastAsia="Times New Roman" w:cs="Calibri"/>
                <w:b/>
                <w:bCs/>
                <w:color w:val="FFFFFF" w:themeColor="background1"/>
                <w:kern w:val="0"/>
                <w:sz w:val="20"/>
                <w:szCs w:val="20"/>
                <w:lang w:val="pl-PL" w:eastAsia="pl-PL" w:bidi="ar-SA"/>
              </w:rPr>
              <w:t>[rocznie na 100 tys. mieszkańców]</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43</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27</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21</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color w:val="FFFFFF" w:themeColor="background1"/>
                <w:sz w:val="20"/>
                <w:szCs w:val="20"/>
                <w:lang w:eastAsia="pl-PL"/>
              </w:rPr>
            </w:pPr>
            <w:r>
              <w:rPr>
                <w:rFonts w:eastAsia="Times New Roman" w:cs="Calibri"/>
                <w:b/>
                <w:color w:val="FFFFFF" w:themeColor="background1"/>
                <w:kern w:val="0"/>
                <w:sz w:val="20"/>
                <w:szCs w:val="20"/>
                <w:lang w:val="pl-PL" w:eastAsia="pl-PL" w:bidi="ar-SA"/>
              </w:rPr>
              <w:t xml:space="preserve">Liczba ofiar wypadków drogowych </w:t>
            </w:r>
            <w:r>
              <w:rPr>
                <w:rFonts w:eastAsia="Times New Roman" w:cs="Calibri"/>
                <w:b/>
                <w:bCs/>
                <w:color w:val="FFFFFF" w:themeColor="background1"/>
                <w:kern w:val="0"/>
                <w:sz w:val="20"/>
                <w:szCs w:val="20"/>
                <w:lang w:val="pl-PL" w:eastAsia="pl-PL" w:bidi="ar-SA"/>
              </w:rPr>
              <w:t>[rocznie na 100 tys. mieszkańców]</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8,11</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3,95</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2,75</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bCs/>
                <w:color w:val="FFFFFF" w:themeColor="background1"/>
                <w:sz w:val="20"/>
                <w:szCs w:val="20"/>
                <w:lang w:eastAsia="pl-PL"/>
              </w:rPr>
            </w:pPr>
            <w:r>
              <w:rPr>
                <w:rFonts w:eastAsia="Times New Roman" w:cs="Calibri"/>
                <w:b/>
                <w:color w:val="FFFFFF" w:themeColor="background1"/>
                <w:kern w:val="0"/>
                <w:sz w:val="20"/>
                <w:szCs w:val="20"/>
                <w:lang w:val="pl-PL" w:eastAsia="pl-PL" w:bidi="ar-SA"/>
              </w:rPr>
              <w:t>Liczba ofiar wypadków drogowych z udziałem pieszych i rowerzystów</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1</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1</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sz w:val="20"/>
                <w:szCs w:val="20"/>
                <w:lang w:eastAsia="pl-PL"/>
              </w:rPr>
            </w:pPr>
            <w:r>
              <w:rPr>
                <w:rFonts w:eastAsia="Times New Roman" w:cs="Calibri"/>
                <w:b/>
                <w:kern w:val="0"/>
                <w:sz w:val="20"/>
                <w:szCs w:val="20"/>
                <w:lang w:val="pl-PL" w:eastAsia="pl-PL" w:bidi="ar-SA"/>
              </w:rPr>
              <w:t>0</w:t>
            </w:r>
          </w:p>
        </w:tc>
      </w:tr>
      <w:tr>
        <w:trPr/>
        <w:tc>
          <w:tcPr>
            <w:tcW w:w="3520" w:type="dxa"/>
            <w:tcBorders/>
            <w:shd w:color="auto" w:fill="4F81BD" w:themeFill="accent1" w:val="clear"/>
            <w:vAlign w:val="center"/>
          </w:tcPr>
          <w:p>
            <w:pPr>
              <w:pStyle w:val="Normal"/>
              <w:widowControl/>
              <w:spacing w:lineRule="auto" w:line="240" w:before="80" w:after="0"/>
              <w:jc w:val="left"/>
              <w:rPr>
                <w:rFonts w:eastAsia="Times New Roman" w:cs="Calibri"/>
                <w:b/>
                <w:color w:val="FFFFFF" w:themeColor="background1"/>
                <w:sz w:val="20"/>
                <w:szCs w:val="20"/>
                <w:lang w:eastAsia="pl-PL"/>
              </w:rPr>
            </w:pPr>
            <w:r>
              <w:rPr>
                <w:rFonts w:eastAsia="Times New Roman" w:cs="Calibri"/>
                <w:b/>
                <w:bCs/>
                <w:color w:val="FFFFFF" w:themeColor="background1"/>
                <w:kern w:val="0"/>
                <w:sz w:val="20"/>
                <w:szCs w:val="20"/>
                <w:lang w:val="pl-PL" w:eastAsia="pl-PL" w:bidi="ar-SA"/>
              </w:rPr>
              <w:t xml:space="preserve">Wskaźnik dostępności czasowej transportu zbiorowego </w:t>
            </w:r>
            <w:r>
              <w:rPr>
                <w:rFonts w:eastAsia="Times New Roman" w:cs="Calibri"/>
                <w:b/>
                <w:color w:val="FFFFFF" w:themeColor="background1"/>
                <w:kern w:val="0"/>
                <w:sz w:val="20"/>
                <w:szCs w:val="20"/>
                <w:lang w:val="pl-PL" w:eastAsia="pl-PL" w:bidi="ar-SA"/>
              </w:rPr>
              <w:t>[% mieszkańców WłOF o dobrej dostępności transportu zbiorowego]</w:t>
            </w:r>
          </w:p>
        </w:tc>
        <w:tc>
          <w:tcPr>
            <w:tcW w:w="1703" w:type="dxa"/>
            <w:tcBorders/>
            <w:shd w:color="auto" w:fill="4F81BD" w:themeFill="accent1" w:val="clear"/>
            <w:vAlign w:val="center"/>
          </w:tcPr>
          <w:p>
            <w:pPr>
              <w:pStyle w:val="Normal"/>
              <w:widowControl/>
              <w:spacing w:lineRule="auto" w:line="240" w:before="80" w:after="0"/>
              <w:jc w:val="center"/>
              <w:rPr>
                <w:rFonts w:eastAsia="Times New Roman" w:cs="Calibri"/>
                <w:b/>
                <w:bCs/>
                <w:color w:val="FFFFFF" w:themeColor="background1"/>
                <w:sz w:val="20"/>
                <w:szCs w:val="20"/>
                <w:lang w:eastAsia="pl-PL"/>
              </w:rPr>
            </w:pPr>
            <w:r>
              <w:rPr>
                <w:rFonts w:eastAsia="Times New Roman" w:cs="Calibri"/>
                <w:b/>
                <w:bCs/>
                <w:color w:val="FFFFFF" w:themeColor="background1"/>
                <w:kern w:val="0"/>
                <w:sz w:val="20"/>
                <w:szCs w:val="20"/>
                <w:lang w:val="pl-PL" w:eastAsia="pl-PL" w:bidi="ar-SA"/>
              </w:rPr>
              <w:t>23,3%</w:t>
            </w:r>
          </w:p>
        </w:tc>
        <w:tc>
          <w:tcPr>
            <w:tcW w:w="2002" w:type="dxa"/>
            <w:tcBorders/>
            <w:shd w:color="auto" w:fill="FFFFFF" w:themeFill="background1" w:val="clear"/>
            <w:vAlign w:val="center"/>
          </w:tcPr>
          <w:p>
            <w:pPr>
              <w:pStyle w:val="Normal"/>
              <w:widowControl/>
              <w:spacing w:lineRule="auto" w:line="240" w:before="80" w:after="0"/>
              <w:jc w:val="center"/>
              <w:rPr>
                <w:rFonts w:eastAsia="Times New Roman" w:cs="Calibri"/>
                <w:b/>
                <w:bCs/>
                <w:sz w:val="20"/>
                <w:szCs w:val="20"/>
                <w:lang w:eastAsia="pl-PL"/>
              </w:rPr>
            </w:pPr>
            <w:r>
              <w:rPr>
                <w:rFonts w:eastAsia="Times New Roman" w:cs="Calibri"/>
                <w:b/>
                <w:bCs/>
                <w:kern w:val="0"/>
                <w:sz w:val="20"/>
                <w:szCs w:val="20"/>
                <w:lang w:val="pl-PL" w:eastAsia="pl-PL" w:bidi="ar-SA"/>
              </w:rPr>
              <w:t>22,1%</w:t>
            </w:r>
          </w:p>
        </w:tc>
        <w:tc>
          <w:tcPr>
            <w:tcW w:w="1844" w:type="dxa"/>
            <w:tcBorders/>
            <w:shd w:color="auto" w:fill="F2DBDB" w:themeFill="accent2" w:themeFillTint="33" w:val="clear"/>
            <w:vAlign w:val="center"/>
          </w:tcPr>
          <w:p>
            <w:pPr>
              <w:pStyle w:val="Normal"/>
              <w:widowControl/>
              <w:spacing w:lineRule="auto" w:line="240" w:before="80" w:after="0"/>
              <w:jc w:val="center"/>
              <w:rPr>
                <w:rFonts w:eastAsia="Times New Roman" w:cs="Calibri"/>
                <w:b/>
                <w:bCs/>
                <w:sz w:val="20"/>
                <w:szCs w:val="20"/>
                <w:lang w:eastAsia="pl-PL"/>
              </w:rPr>
            </w:pPr>
            <w:r>
              <w:rPr>
                <w:rFonts w:eastAsia="Times New Roman" w:cs="Calibri"/>
                <w:b/>
                <w:bCs/>
                <w:kern w:val="0"/>
                <w:sz w:val="20"/>
                <w:szCs w:val="20"/>
                <w:lang w:val="pl-PL" w:eastAsia="pl-PL" w:bidi="ar-SA"/>
              </w:rPr>
              <w:t>31,0%</w:t>
            </w:r>
          </w:p>
        </w:tc>
      </w:tr>
    </w:tbl>
    <w:p>
      <w:pPr>
        <w:pStyle w:val="RdoTABEL"/>
        <w:rPr/>
      </w:pPr>
      <w:r>
        <w:rPr/>
        <w:t>Źródło: Opracowanie własne Zespołu Doradców Gospodarczych TOR</w:t>
      </w:r>
    </w:p>
    <w:p>
      <w:pPr>
        <w:pStyle w:val="Normal"/>
        <w:spacing w:lineRule="auto" w:line="240" w:before="0" w:after="0"/>
        <w:rPr>
          <w:rFonts w:eastAsia="Times New Roman" w:cs="Calibri"/>
        </w:rPr>
      </w:pPr>
      <w:r>
        <w:rPr>
          <w:rFonts w:eastAsia="Times New Roman" w:cs="Calibri"/>
        </w:rPr>
      </w:r>
    </w:p>
    <w:p>
      <w:pPr>
        <w:pStyle w:val="Normal"/>
        <w:spacing w:lineRule="auto" w:line="276"/>
        <w:jc w:val="both"/>
        <w:rPr/>
      </w:pPr>
      <w:r>
        <w:rPr/>
        <w:t xml:space="preserve">Pomimo deklaratywnego wsparcia zrównoważonej mobilności na etapie składania wniosków o dofinansowanie, tworzenia strategii czy komunikacji społecznej – </w:t>
      </w:r>
      <w:r>
        <w:rPr>
          <w:bCs/>
        </w:rPr>
        <w:t xml:space="preserve">przemieszczanie osób i towarów </w:t>
        <w:br/>
        <w:t>w Polsce nie staje się coraz mniej uciążliwe dla mieszkańców i bardziej przyjazne dla środowiska</w:t>
      </w:r>
      <w:r>
        <w:rPr/>
        <w:t xml:space="preserve">. W znacznej części Włocławskiego Obszaru Funkcjonalnego za normę uznaje się transport oparty niemal w całości o spalinowe samochody osobowe. Przystanki kolejowe we WŁOF pozostają niewykorzystane, przewozy autobusowe nie stanowią realnej opcji podróży, a infrastruktura rowerowa nie ma charakteru spójnej sieci. Choć w obszarze rozwijają się strefy przemysłowe i nowe osiedla domów jednorodzinnych, niemal całkowite uzależnienie od transportu drogowego sprawia, że </w:t>
      </w:r>
      <w:r>
        <w:rPr>
          <w:bCs/>
        </w:rPr>
        <w:t xml:space="preserve">Kujawy w wymiarze transportowym co do zasady oddalają się, a nie zbliżają do celów środowiskowych </w:t>
        <w:br/>
        <w:t>i społecznych, wyznaczanych przez europejskie czy krajowe strategie</w:t>
      </w:r>
      <w:r>
        <w:rPr/>
        <w:t>.</w:t>
      </w:r>
    </w:p>
    <w:p>
      <w:pPr>
        <w:pStyle w:val="Normal"/>
        <w:spacing w:lineRule="auto" w:line="276"/>
        <w:jc w:val="both"/>
        <w:rPr/>
      </w:pPr>
      <w:r>
        <w:rPr/>
        <w:t xml:space="preserve">W latach 2005-2017 emisje z sektora transportowego w Polsce wzrosły o 76% – w całej Unii w tym czasie spadły o 3%. Dzieje się tak pomimo najwyższych w skali Unii Europejskiej dofinansowań </w:t>
        <w:br/>
        <w:t>na inwestycje transportowe – kolej, niskoemisyjne autobusy, węzły przesiadkowe.</w:t>
      </w:r>
    </w:p>
    <w:p>
      <w:pPr>
        <w:pStyle w:val="Normal"/>
        <w:spacing w:lineRule="auto" w:line="276"/>
        <w:jc w:val="both"/>
        <w:rPr/>
      </w:pPr>
      <w:r>
        <w:rPr/>
        <w:t>Zgodnie z raportem CAKE</w:t>
      </w:r>
      <w:r>
        <w:rPr>
          <w:rStyle w:val="Zakotwiczenieprzypisudolnego"/>
          <w:vertAlign w:val="superscript"/>
        </w:rPr>
        <w:footnoteReference w:id="7"/>
      </w:r>
      <w:r>
        <w:rPr/>
        <w:t xml:space="preserve"> </w:t>
      </w:r>
      <w:r>
        <w:rPr>
          <w:bCs/>
        </w:rPr>
        <w:t>emisje z transportu w Polsce wzrosną</w:t>
      </w:r>
      <w:r>
        <w:rPr/>
        <w:t xml:space="preserve"> z 61 Mt CO</w:t>
      </w:r>
      <w:r>
        <w:rPr>
          <w:vertAlign w:val="subscript"/>
        </w:rPr>
        <w:t xml:space="preserve">2 </w:t>
      </w:r>
      <w:r>
        <w:rPr/>
        <w:t>do poziomu 63 Mt CO</w:t>
      </w:r>
      <w:r>
        <w:rPr>
          <w:vertAlign w:val="subscript"/>
        </w:rPr>
        <w:t xml:space="preserve">2 </w:t>
        <w:br/>
      </w:r>
      <w:r>
        <w:rPr/>
        <w:t>w 2030 r. W 2050 r. szacuje się je na 58 Mt CO</w:t>
      </w:r>
      <w:r>
        <w:rPr>
          <w:vertAlign w:val="subscript"/>
        </w:rPr>
        <w:t xml:space="preserve">2.  </w:t>
      </w:r>
      <w:r>
        <w:rPr/>
        <w:t xml:space="preserve">Oznacza to, że Polska nie osiągnie zakładanych celów klimatycznych w obszarze transportu. Choć flota transportu publicznego w miastach jest modernizowana, a pojazdy Polaków coraz bardziej przyjazne dla środowiska, ogólny wzrost aktywności transportowej na poziomie 1,5% i powszechna rezygnacja z transportu publicznego poza miastami sprawiają, że </w:t>
      </w:r>
      <w:r>
        <w:rPr>
          <w:bCs/>
        </w:rPr>
        <w:t xml:space="preserve">jakiekolwiek pozytywne efekty związane z inwestycjami w transport publiczny </w:t>
        <w:br/>
        <w:t>są neutralizowane przez wzrost zainteresowania Polaków motoryzacją</w:t>
      </w:r>
      <w:r>
        <w:rPr/>
        <w:t>. Nawet wymiana wszystkich autobusów komunikacji miejskiej w Polsce na zeroemisyjne nie równoważy wzrostu emisji związanego z transportem indywidualnym. Nie bez znaczenia jest tu też wzrost zapotrzebowania na transport towarowy wynikający z rosnącej zamożności polskiego społeczeństwa – tu także bardziej efektywna energetycznie kolej traci na korzyść transportu drogowego.</w:t>
      </w:r>
    </w:p>
    <w:p>
      <w:pPr>
        <w:pStyle w:val="Normal"/>
        <w:spacing w:lineRule="auto" w:line="276"/>
        <w:jc w:val="both"/>
        <w:rPr/>
      </w:pPr>
      <w:r>
        <w:rPr/>
        <w:t xml:space="preserve">Za wzrost emisji w znacznej mierze odpowiada także chaos przestrzenny: źle zlokalizowana zabudowa wymusza dłuższe dojazdy mieszkańców i łańcuchy dostaw towarów. </w:t>
      </w:r>
      <w:r>
        <w:rPr>
          <w:bCs/>
        </w:rPr>
        <w:t xml:space="preserve">Choć Włocławek wyludnia się </w:t>
        <w:br/>
        <w:t>w rekordowym tempie, przedmieścia miasta i obszary wiejskie ciągle znajdują się pod presją inwestorów</w:t>
      </w:r>
      <w:r>
        <w:rPr/>
        <w:t xml:space="preserve">. Godzi to w skuteczność rewitalizacji, której fundamentem jest powrót mieszkańców do centrum i stabilność finansową samorządów. Skala niekontrolowanej urbanizacji i chaosu przestrzennego staje się kosztownym obciążeniem dla wielu samorządów w Polsce – </w:t>
      </w:r>
      <w:r>
        <w:rPr>
          <w:bCs/>
        </w:rPr>
        <w:t>koszty chaosu przestrzennego w Polsce wynoszą aż 84,3 mld</w:t>
      </w:r>
      <w:r>
        <w:rPr/>
        <w:t xml:space="preserve"> </w:t>
      </w:r>
      <w:r>
        <w:rPr>
          <w:bCs/>
        </w:rPr>
        <w:t>zł</w:t>
      </w:r>
      <w:r>
        <w:rPr/>
        <w:t xml:space="preserve"> – 2 200 zł na każdego mieszkańca polski. Aż 31,5 mld zł spośród tej kwoty to koszty nadmiernych dojazdów do pracy, wartość utraconego czasu związanego z kongestią i koszty zewnętrzne związane z transportem. Gdyby ograniczyć zjawisko chaosu przestrzennego, polskie gminy zaoszczędziłyby rocznie co najmniej 5,8 mld zł. Wyludnianie się miast przy jednoczesnym rozlewaniu się przedmieść sprawiają, że na utrzymanie każdego odcinka infrastruktury składa się coraz mniej osób.</w:t>
      </w:r>
    </w:p>
    <w:p>
      <w:pPr>
        <w:pStyle w:val="Normal"/>
        <w:spacing w:lineRule="auto" w:line="276"/>
        <w:jc w:val="both"/>
        <w:rPr/>
      </w:pPr>
      <w:r>
        <w:rPr/>
        <w:t xml:space="preserve">Jak wynika z raportu Polskiego Instytutu Ekonomicznego, skutkiem chaosu przestrzennego jest m.in. nierównomierny dostęp do usług publicznych: o ile na niską dostępność transportową narzeka tylko 14% mieszkańców największych miast, </w:t>
      </w:r>
      <w:r>
        <w:rPr>
          <w:bCs/>
        </w:rPr>
        <w:t>to w przypadku stref podmiejskich odsetek ten rośnie do 45%</w:t>
      </w:r>
      <w:r>
        <w:rPr>
          <w:rStyle w:val="Zakotwiczenieprzypisudolnego"/>
          <w:bCs/>
          <w:vertAlign w:val="superscript"/>
        </w:rPr>
        <w:footnoteReference w:id="8"/>
      </w:r>
      <w:r>
        <w:rPr>
          <w:bCs/>
        </w:rPr>
        <w:t>.</w:t>
      </w:r>
      <w:r>
        <w:rPr/>
        <w:t xml:space="preserve"> W ostatnich latach niemal całkowicie załamała się oferta transportu publicznego poza największymi ośrodkami, co dotknęło także WŁOF, pogłębiając zjawisko wykluczenia komunikacyjnego. </w:t>
      </w:r>
      <w:r>
        <w:rPr>
          <w:bCs/>
        </w:rPr>
        <w:t>Posiadanie samochodu przestało być kwestią wyboru – stało się w obszarach pozamiejskich podstawą funkcjonowania w społeczeństwie, co potwierdzają wyniki badań społecznych, w których 45% respondentów przyznało, że nic nie skłoni ich do rezygnacji z przemieszczania się samochodem, zaś własny samochód posiada aż 74% z nich.</w:t>
      </w:r>
    </w:p>
    <w:p>
      <w:pPr>
        <w:pStyle w:val="Normal"/>
        <w:spacing w:lineRule="auto" w:line="276"/>
        <w:jc w:val="both"/>
        <w:rPr/>
      </w:pPr>
      <w:r>
        <w:rPr/>
        <w:t>Jak wynika z badań przeprowadzonych na potrzeby planu, mieszkańcy mniejszych ośrodków WŁOF poświęcali więcej czasu na dojazd do miejsc pracy, nauki czy do miejsc rozrywki (w ostatnim wypadku aż dwukrotnie dłużej, niż mieszkańcy Włocławka). Proces odpływu mieszkańców z miasta rdzeniowego sprawia więc, że spada dostęp mieszkańców do usług.</w:t>
      </w:r>
    </w:p>
    <w:p>
      <w:pPr>
        <w:pStyle w:val="Normal"/>
        <w:spacing w:lineRule="auto" w:line="276"/>
        <w:jc w:val="both"/>
        <w:rPr>
          <w:rFonts w:ascii="Calibri" w:hAnsi="Calibri"/>
        </w:rPr>
      </w:pPr>
      <w:r>
        <w:rPr/>
        <w:t>Polska jest jako istotny członek Unii Europejskiej zobowiązana do realizacji celów klimatycznych</w:t>
      </w:r>
      <w:r>
        <w:rPr>
          <w:bCs/>
        </w:rPr>
        <w:t xml:space="preserve">.           Na 2030 r. prawnie wiążący cel redukcji emisji dla Polski to 7% w stosunku do poziomu z 2005 r. </w:t>
      </w:r>
      <w:r>
        <w:rPr/>
        <w:t>– jest to cel dla całego obszaru non-ETS: czyli transportu, rolnictwa, odpadów, emisji przemysłowych poza ETS i sektora komunalno-bytowego – w znacznej mierze wpływ na emisję w tych obszarach mają samorządy. Transport jest głównym źródłem emisji w tym obszarze i jedynym, w którym dziś nie są widoczne realne perspektywy spadków. Jak wspomniano wcześniej, od 2005 r. emisje z transportu dynamicznie rosły.</w:t>
      </w:r>
    </w:p>
    <w:p>
      <w:pPr>
        <w:pStyle w:val="TytuMAPiTABEL"/>
        <w:rPr/>
      </w:pPr>
      <w:r>
        <w:rPr/>
      </w:r>
      <w:bookmarkStart w:id="60" w:name="_Toc110877454"/>
      <w:bookmarkStart w:id="61" w:name="_Toc110877454"/>
    </w:p>
    <w:p>
      <w:pPr>
        <w:pStyle w:val="TytuMAPiTABEL"/>
        <w:rPr/>
      </w:pPr>
      <w:r>
        <w:rPr/>
      </w:r>
    </w:p>
    <w:p>
      <w:pPr>
        <w:pStyle w:val="TytuMAPiTABEL"/>
        <w:rPr/>
      </w:pPr>
      <w:bookmarkStart w:id="62" w:name="_Toc110877454"/>
      <w:r>
        <w:rPr/>
        <w:t>Wykres 1.  Emisje z transportu w Unii Europejskiej</w:t>
      </w:r>
      <w:bookmarkEnd w:id="62"/>
    </w:p>
    <w:p>
      <w:pPr>
        <w:pStyle w:val="Normal"/>
        <w:spacing w:lineRule="auto" w:line="276" w:before="120" w:after="160"/>
        <w:jc w:val="center"/>
        <w:rPr>
          <w:rFonts w:ascii="Calibri Light" w:hAnsi="Calibri Light" w:eastAsia="Times New Roman" w:cs="Open Sans"/>
        </w:rPr>
      </w:pPr>
      <w:r>
        <w:rPr/>
        <w:drawing>
          <wp:inline distT="0" distB="0" distL="0" distR="0">
            <wp:extent cx="5695950" cy="3959860"/>
            <wp:effectExtent l="0" t="0" r="0" b="0"/>
            <wp:docPr id="34" name="Wykres 1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RdoTABEL"/>
        <w:rPr/>
      </w:pPr>
      <w:r>
        <w:rPr/>
        <w:t>Źródło: Europejska Agencja Środowiska, 2022.</w:t>
      </w:r>
    </w:p>
    <w:p>
      <w:pPr>
        <w:pStyle w:val="Normal"/>
        <w:rPr/>
      </w:pPr>
      <w:r>
        <w:rPr/>
      </w:r>
    </w:p>
    <w:p>
      <w:pPr>
        <w:pStyle w:val="Normal"/>
        <w:spacing w:lineRule="auto" w:line="276"/>
        <w:jc w:val="both"/>
        <w:rPr/>
      </w:pPr>
      <w:r>
        <w:rPr/>
        <w:t xml:space="preserve">Transport drogowy odpowiada w skali Unii Europejskiej za 72% emisji z transportu (z czego 61% przypada na samochody osobowe), lotnictwo za 13,5%, kolej zaś za jedynie za 0,5%. Nawet najbardziej optymistyczne scenariusze zakładają, że w 2030 r. emisje z transportu będą w Polsce większe o 48% </w:t>
        <w:br/>
        <w:t xml:space="preserve">w stosunku do 2005 r. – jednak i one, w obliczu braku realnego zrozumienia potrzeby transformacji </w:t>
        <w:br/>
        <w:t>w transporcie, mogą się nie ziścić.</w:t>
      </w:r>
    </w:p>
    <w:p>
      <w:pPr>
        <w:pStyle w:val="Normal"/>
        <w:spacing w:lineRule="auto" w:line="276"/>
        <w:jc w:val="both"/>
        <w:rPr/>
      </w:pPr>
      <w:r>
        <w:rPr/>
        <w:t>Osiągnięcie celów klimatycznych poprzez odpowiednio szybką dobrowolną zmianę napędu samochodów osobowych przy braku innych zmian w systemie transportowym to mało prawdopodobny scenariusz. Ceny paliw alternatywnych i pojazdów napędzanych nimi nie spadną dostatecznie szybko, by po prostu wymienić flotę (często starych) pojazdów spalinowych na hybrydy plug-in, elektryczne czy wodorowe przy zachowaniu wszystkich obecnych trendów w zakresie przyzwyczajeń transportowych i rozwoju przestrzennego. Rozwój technologiczny nie rozwiąże problemów związanych z emisją dostatecznie szybko.</w:t>
      </w:r>
    </w:p>
    <w:p>
      <w:pPr>
        <w:pStyle w:val="Normal"/>
        <w:spacing w:lineRule="auto" w:line="276"/>
        <w:jc w:val="both"/>
        <w:rPr/>
      </w:pPr>
      <w:r>
        <w:rPr/>
        <w:t>Samorządy ponoszą znaczną część odpowiedzialności za działanie w obszarze zrównoważonej mobilności – to one dysponują narzędziami, które kształtują politykę przestrzenną i charakter większości codziennych podróży. To na poziomie lokalnym, poprzez kształtowanie ulic zapewniające atrakcyjność ciągów pieszy i rowerowych, inwestycje w transport zbiorowy, polityki parkingowe, tworzy się polityka mobilności. Nawet kwestie pozornie będące poza zakresem kompetencji gmin są związane z ich działaniami: popularność i przydatność kolei zarówno w ruchu pasażerskim,</w:t>
        <w:br/>
        <w:t xml:space="preserve"> jak i towarowym jest w znacznej mierze pochodną polityki przestrzennej i skuteczności integracji działań poziomu krajowego, regionalnego i lokalnego.</w:t>
      </w:r>
    </w:p>
    <w:p>
      <w:pPr>
        <w:pStyle w:val="Normal"/>
        <w:spacing w:lineRule="auto" w:line="276"/>
        <w:jc w:val="both"/>
        <w:rPr/>
      </w:pPr>
      <w:r>
        <w:rPr/>
        <w:t xml:space="preserve">Wyniki badań prowadzonych z mieszkańcami WŁOF potwierdzają, że istnieje zapotrzebowanie </w:t>
        <w:br/>
        <w:t xml:space="preserve">na zróżnicowany system mobilności, który oferuje szereg alternatyw wobec samochodów. Zróżnicowanie częstotliwości korzystania z poszczególnych form transportu różni się ze względu </w:t>
        <w:br/>
        <w:t>na płeć badanych. Dla przykładu: autobusy miejskie i gminne to środek częściej wykorzystywany przez kobiety (nie podróżuje nimi 32%) niż przez mężczyzn (44% nie jeździ autobusami). Odsetek regularnych użytkowników (tj. osób jeżdżących autobusem codziennie lub kilka razy w tygodniu) jest istotnie niższy wśród mężczyzn niż wśród kobiet (25% vs 37%).</w:t>
      </w:r>
    </w:p>
    <w:p>
      <w:pPr>
        <w:pStyle w:val="Normal"/>
        <w:rPr/>
      </w:pPr>
      <w:r>
        <w:rPr/>
      </w:r>
    </w:p>
    <w:p>
      <w:pPr>
        <w:pStyle w:val="TytuMAPiTABEL"/>
        <w:rPr/>
      </w:pPr>
      <w:bookmarkStart w:id="63" w:name="_Toc110877455"/>
      <w:r>
        <w:rPr/>
        <w:t>Wykres 2. Zainteresowanie poszczególnymi środkami transportu; n = 606</w:t>
      </w:r>
      <w:bookmarkEnd w:id="63"/>
    </w:p>
    <w:p>
      <w:pPr>
        <w:pStyle w:val="Normal"/>
        <w:spacing w:lineRule="auto" w:line="276"/>
        <w:rPr>
          <w:rFonts w:ascii="Calibri Light" w:hAnsi="Calibri Light" w:eastAsia="Times New Roman" w:cs="Times New Roman"/>
        </w:rPr>
      </w:pPr>
      <w:r>
        <w:rPr/>
        <w:drawing>
          <wp:inline distT="0" distB="0" distL="0" distR="0">
            <wp:extent cx="5758180" cy="4417695"/>
            <wp:effectExtent l="0" t="0" r="0" b="0"/>
            <wp:docPr id="35" name="Wykres 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RdoTABEL"/>
        <w:rPr/>
      </w:pPr>
      <w:r>
        <w:rPr/>
        <w:t>Źródło: Badanie PAPI na potrzeby PZMM Kujawy 2035</w:t>
      </w:r>
    </w:p>
    <w:p>
      <w:pPr>
        <w:pStyle w:val="Normal"/>
        <w:rPr/>
      </w:pPr>
      <w:r>
        <w:rPr/>
      </w:r>
    </w:p>
    <w:p>
      <w:pPr>
        <w:pStyle w:val="Normal"/>
        <w:spacing w:lineRule="auto" w:line="276"/>
        <w:jc w:val="both"/>
        <w:rPr/>
      </w:pPr>
      <w:r>
        <w:rPr/>
        <w:t>Kwestia dostępności transportu publicznego czy innych alternatyw wobec samochodu nie jest tylko częścią polityki transportowej, a fundamentalnego prawa obywatela do dostępu do usług publicznych. Choć w obszarze podczas rozmów badacze i eksperci wielokrotnie usłyszeli tezę, że „wszyscy mają</w:t>
      </w:r>
      <w:r>
        <w:rPr>
          <w:rFonts w:cs="Times New Roman" w:ascii="Calibri Light" w:hAnsi="Calibri Light"/>
        </w:rPr>
        <w:t xml:space="preserve"> </w:t>
      </w:r>
      <w:r>
        <w:rPr/>
        <w:t>samochody, więc transport publiczny nie jest potrzebny”, często były to słowa wypowiadane bez refleksji nad grupami, które z różnych powodów nie mogą bądź nie chcą z samochodów korzystać. Przeszło 70% osób w wieku 18-24 lata korzysta we WŁOF regularnie z transportu publicznego, zaś tylko 36,3% korzysta z samochodu jako kierowca. W żadnej grupie wiekowej odsetek kierowców nie przekracza ¾ badanej grupy.</w:t>
      </w:r>
    </w:p>
    <w:p>
      <w:pPr>
        <w:pStyle w:val="Normal"/>
        <w:spacing w:lineRule="auto" w:line="276"/>
        <w:jc w:val="both"/>
        <w:rPr/>
      </w:pPr>
      <w:r>
        <w:rPr/>
        <w:t>Co istotne, odsetek osób korzystających regularnie z samochodu jako kierowca wcale nie jest wyższy poza Włocławkiem – brak oferty transportu publicznego może oznaczać tam więc ryzyko wykluczenia komunikacyjnego.</w:t>
      </w:r>
    </w:p>
    <w:p>
      <w:pPr>
        <w:pStyle w:val="TytuMAPiTABEL"/>
        <w:rPr/>
      </w:pPr>
      <w:bookmarkStart w:id="64" w:name="_Toc110877456"/>
      <w:r>
        <w:rPr/>
        <w:t>Wykres 3. Regularnie wykorzystywane środki transportu a początkowy punkt podróży; n = 606</w:t>
      </w:r>
      <w:bookmarkEnd w:id="64"/>
    </w:p>
    <w:p>
      <w:pPr>
        <w:pStyle w:val="Normal"/>
        <w:spacing w:lineRule="auto" w:line="276" w:before="120" w:after="160"/>
        <w:jc w:val="center"/>
        <w:rPr>
          <w:rFonts w:ascii="Calibri Light" w:hAnsi="Calibri Light" w:eastAsia="Times New Roman" w:cs="Open Sans"/>
        </w:rPr>
      </w:pPr>
      <w:r>
        <w:rPr/>
        <w:drawing>
          <wp:inline distT="0" distB="0" distL="0" distR="0">
            <wp:extent cx="5991225" cy="3238500"/>
            <wp:effectExtent l="0" t="0" r="0" b="0"/>
            <wp:docPr id="36" name="Wykres 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RdoTABEL"/>
        <w:rPr/>
      </w:pPr>
      <w:r>
        <w:rPr/>
        <w:t>Źródło: Badanie PAPI na potrzeby PZMM Kujawy 2035</w:t>
      </w:r>
    </w:p>
    <w:p>
      <w:pPr>
        <w:pStyle w:val="Normal"/>
        <w:rPr/>
      </w:pPr>
      <w:r>
        <w:rPr/>
      </w:r>
    </w:p>
    <w:p>
      <w:pPr>
        <w:pStyle w:val="Normal"/>
        <w:spacing w:lineRule="auto" w:line="276"/>
        <w:jc w:val="both"/>
        <w:rPr/>
      </w:pPr>
      <w:r>
        <w:rPr/>
        <w:t>Brak realizacji działań w obszarze podejmowanym przez PZMM rodzi ryzyko, że po 2035r. mieszkańców Kujaw nie będzie stać na samochody zero-/niskoemisyjne i jednocześnie transport publiczny będzie niedostatecznie atrakcyjny, a cele podróży jeszcze bardziej oddalone od mieszkańców niż dziś. Objęcie transportu towarów drogą lądową systemem opłat za emisję przy braku rozwoju alternatyw sprawi z kolei, że wzrosną ceny towarów i usług. Wszystko to może przełożyć się na znaczące pogorszenie sytuacji bytowej mieszkańców i wykluczenie wielu ich grup.</w:t>
      </w:r>
    </w:p>
    <w:p>
      <w:pPr>
        <w:pStyle w:val="Normal"/>
        <w:spacing w:lineRule="auto" w:line="276"/>
        <w:jc w:val="both"/>
        <w:rPr/>
      </w:pPr>
      <w:r>
        <w:rPr/>
        <w:t>O wyborze środka transportu we Włocławskim Obszarze Funkcjonalnym decydują w pierwszej kolejności sam fakt jego dostępności – dopiero później wygoda, szybkość czy koszt. Tylko 5,3% badanych zwracało uwagę na kwestie środowiskowe, jeszcze mniej (4,5%) na kwestie bezpieczeństwa. Kwestia dostępności środka transportu była znacznie istotniejsza dla kobiet (61% badanych). Aż 81,6% mieszkańców spoza Włocławka wskazywało na kluczowe znaczenie dostępności środka transportu przy jego wyborze.</w:t>
      </w:r>
    </w:p>
    <w:p>
      <w:pPr>
        <w:pStyle w:val="Normal"/>
        <w:spacing w:lineRule="auto" w:line="276"/>
        <w:jc w:val="both"/>
        <w:rPr/>
      </w:pPr>
      <w:r>
        <w:rPr/>
        <w:t xml:space="preserve">Badania wskazują na obecność w obszarze zjawiska tzw. motoryzacji wymuszonej – sytuacji, w której rodziny o niskich dochodach zostają niejako zmuszone do zakupu i użytkowania samochodu, ponieważ inne opcje transportu nie są dla nich dostępne, a rodziny takie potrzebują dostępności, którą niesie </w:t>
        <w:br/>
        <w:t>ze sobą samochód.</w:t>
      </w:r>
    </w:p>
    <w:p>
      <w:pPr>
        <w:pStyle w:val="Normal"/>
        <w:spacing w:lineRule="auto" w:line="276" w:before="0" w:after="200"/>
        <w:rPr/>
      </w:pPr>
      <w:r>
        <w:rPr/>
      </w:r>
      <w:r>
        <w:br w:type="page"/>
      </w:r>
    </w:p>
    <w:p>
      <w:pPr>
        <w:pStyle w:val="TytuMAPiTABEL"/>
        <w:rPr/>
      </w:pPr>
      <w:bookmarkStart w:id="65" w:name="_Toc110877457"/>
      <w:r>
        <w:rPr/>
        <w:t>Wykres</w:t>
      </w:r>
      <w:bookmarkStart w:id="66" w:name="_Toc103625215"/>
      <w:r>
        <w:rPr/>
        <w:t xml:space="preserve"> 4. Czynniki decydujące o wyborze środka transportu; n = 606</w:t>
      </w:r>
      <w:bookmarkEnd w:id="65"/>
      <w:bookmarkEnd w:id="66"/>
    </w:p>
    <w:p>
      <w:pPr>
        <w:pStyle w:val="Normal"/>
        <w:spacing w:lineRule="auto" w:line="276" w:before="120" w:after="160"/>
        <w:rPr>
          <w:rFonts w:ascii="Calibri Light" w:hAnsi="Calibri Light" w:eastAsia="Times New Roman" w:cs="Times New Roman"/>
        </w:rPr>
      </w:pPr>
      <w:r>
        <w:rPr/>
        <w:drawing>
          <wp:inline distT="0" distB="0" distL="0" distR="0">
            <wp:extent cx="5758180" cy="3827145"/>
            <wp:effectExtent l="0" t="0" r="0" b="0"/>
            <wp:docPr id="37" name="Wykres 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RdoTABEL"/>
        <w:rPr/>
      </w:pPr>
      <w:r>
        <w:rPr/>
        <w:t>Źródło: Badanie PAPI na potrzeby PZMM Kujawy 2035</w:t>
      </w:r>
    </w:p>
    <w:p>
      <w:pPr>
        <w:pStyle w:val="Normal"/>
        <w:rPr/>
      </w:pPr>
      <w:r>
        <w:rPr/>
      </w:r>
    </w:p>
    <w:p>
      <w:pPr>
        <w:pStyle w:val="Normal"/>
        <w:spacing w:lineRule="auto" w:line="276"/>
        <w:jc w:val="both"/>
        <w:rPr/>
      </w:pPr>
      <w:r>
        <w:rPr/>
        <w:t xml:space="preserve">Plan Zrównoważonej Mobilności Miejskiej Kujawy 2035 to narzędzie, które ma doprowadzić </w:t>
        <w:br/>
        <w:t>do realizacji celów środowiskowych, klimatycznych i społecznych w sposób najbardziej efektywny pod względem ekonomicznym – tak by transformacja w sektorze transportu nie uderzyła w najbiedniejszych mieszkańców obszaru.</w:t>
      </w:r>
    </w:p>
    <w:p>
      <w:pPr>
        <w:pStyle w:val="Normal"/>
        <w:spacing w:lineRule="auto" w:line="276"/>
        <w:jc w:val="both"/>
        <w:rPr/>
      </w:pPr>
      <w:r>
        <w:rPr/>
        <w:t>Podstawowym celem procesu SUMP jest diagnoza rzeczywistych problemów, wyzwań i potrzeb związanych z przemieszczaniem osób i towarów w obszarze analizy i jego bezpośrednim otoczeniu oraz znalezienie rzeczywistych i wykonalnych rozwiązań, które mają szanse powodzenia przy uwzględnieniu lokalnej specyfiki społecznej, administracyjnej i politycznej. PZMM ma prowadzić do realizacji koncepcji zrównoważonej mobilności. Ta wynika z kolei z koncepcji zrównoważonego rozwoju, która ma prowadzić do zaspokajania potrzeb obecnych pokoleń bez ograniczania przyszłym pokoleniom możliwości zaspokojenia swoich potrzeb pod względem rozwoju gospodarczego oraz ochrony środowiska. Transformacja WŁOF w obszarze transportu jest możliwa. Jak wynika z badań, nawet 50% mieszkańców WŁOF jest gotowych do rezygnacji z samochodów na rzecz innych środków transportu, jeśli ich jakość znacząco się poprawi.</w:t>
      </w:r>
    </w:p>
    <w:p>
      <w:pPr>
        <w:pStyle w:val="Normal"/>
        <w:spacing w:lineRule="auto" w:line="276" w:before="0" w:after="200"/>
        <w:rPr/>
      </w:pPr>
      <w:r>
        <w:rPr/>
      </w:r>
      <w:r>
        <w:br w:type="page"/>
      </w:r>
    </w:p>
    <w:p>
      <w:pPr>
        <w:pStyle w:val="Normal"/>
        <w:rPr/>
      </w:pPr>
      <w:r>
        <w:rPr/>
      </w:r>
    </w:p>
    <w:p>
      <w:pPr>
        <w:pStyle w:val="TytuMAPiTABEL"/>
        <w:rPr/>
      </w:pPr>
      <w:bookmarkStart w:id="67" w:name="_Toc110877458"/>
      <w:r>
        <w:rPr/>
        <w:t>Wykres 5. Czynniki mogące wpłynąć na ograniczenie korzystania z samochodu; n = 282</w:t>
      </w:r>
      <w:bookmarkEnd w:id="67"/>
    </w:p>
    <w:p>
      <w:pPr>
        <w:pStyle w:val="Normal"/>
        <w:spacing w:lineRule="auto" w:line="276" w:before="120" w:after="0"/>
        <w:rPr>
          <w:rFonts w:ascii="Calibri Light" w:hAnsi="Calibri Light" w:eastAsia="Times New Roman" w:cs="Times New Roman"/>
        </w:rPr>
      </w:pPr>
      <w:r>
        <w:rPr/>
        <w:drawing>
          <wp:inline distT="0" distB="0" distL="0" distR="0">
            <wp:extent cx="5761355" cy="4543425"/>
            <wp:effectExtent l="0" t="0" r="0" b="0"/>
            <wp:docPr id="38" name="Wykres 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RdoTABEL"/>
        <w:rPr/>
      </w:pPr>
      <w:r>
        <w:rPr/>
        <w:t>Źródło: Badanie PAPI na potrzeby PZMM Kujawy 2035</w:t>
      </w:r>
    </w:p>
    <w:p>
      <w:pPr>
        <w:pStyle w:val="Normal"/>
        <w:spacing w:lineRule="auto" w:line="240" w:before="0" w:after="0"/>
        <w:rPr>
          <w:rFonts w:ascii="Cambria" w:hAnsi="Cambria" w:eastAsia="Times New Roman" w:cs="Times New Roman" w:asciiTheme="majorHAnsi" w:hAnsiTheme="majorHAnsi"/>
        </w:rPr>
      </w:pPr>
      <w:r>
        <w:rPr>
          <w:rFonts w:eastAsia="Times New Roman" w:cs="Times New Roman" w:ascii="Cambria" w:hAnsi="Cambria"/>
        </w:rPr>
      </w:r>
    </w:p>
    <w:p>
      <w:pPr>
        <w:pStyle w:val="Normal"/>
        <w:spacing w:lineRule="auto" w:line="276"/>
        <w:jc w:val="both"/>
        <w:rPr/>
      </w:pPr>
      <w:r>
        <w:rPr/>
        <w:t xml:space="preserve">Powyższe wnioski oraz cele pokrywają się z konkretnymi działaniami zawartymi w Planie działania, stanowiącym załącznik do dokumentu strategicznego. </w:t>
      </w:r>
    </w:p>
    <w:p>
      <w:pPr>
        <w:pStyle w:val="Normal"/>
        <w:spacing w:lineRule="auto" w:line="276"/>
        <w:jc w:val="both"/>
        <w:rPr/>
      </w:pPr>
      <w:r>
        <w:rPr/>
      </w:r>
    </w:p>
    <w:p>
      <w:pPr>
        <w:pStyle w:val="2poziom"/>
        <w:numPr>
          <w:ilvl w:val="0"/>
          <w:numId w:val="0"/>
        </w:numPr>
        <w:ind w:left="851" w:hanging="567"/>
        <w:rPr>
          <w:rFonts w:eastAsia="Times New Roman"/>
        </w:rPr>
      </w:pPr>
      <w:bookmarkStart w:id="68" w:name="_Toc143161896"/>
      <w:r>
        <w:rPr>
          <w:rFonts w:eastAsia="Times New Roman"/>
        </w:rPr>
        <w:t>2.5. Demografia</w:t>
      </w:r>
      <w:bookmarkEnd w:id="68"/>
    </w:p>
    <w:p>
      <w:pPr>
        <w:pStyle w:val="Normal"/>
        <w:spacing w:lineRule="auto" w:line="276"/>
        <w:jc w:val="both"/>
        <w:rPr>
          <w:rFonts w:cs="Calibri"/>
          <w:szCs w:val="20"/>
          <w:highlight w:val="yellow"/>
        </w:rPr>
      </w:pPr>
      <w:r>
        <w:rPr/>
        <w:t>Według danych GUS (na podstawie których przeprowadzono niniejszą analizę demograficzną) MOF Włocławka na koniec roku 2020 zamieszkiwany był przez 194,2 tys. osób (9,4% ludności województwa). W okresie ubiegłej dekady (2010-2020) liczba jego mieszka</w:t>
      </w:r>
      <w:r>
        <w:rPr>
          <w:rFonts w:cs="Calibri"/>
        </w:rPr>
        <w:t>ń</w:t>
      </w:r>
      <w:r>
        <w:rPr/>
        <w:t>ców spadła o 4,9% (trac</w:t>
      </w:r>
      <w:r>
        <w:rPr>
          <w:rFonts w:cs="Calibri"/>
        </w:rPr>
        <w:t>ą</w:t>
      </w:r>
      <w:r>
        <w:rPr/>
        <w:t>c relatywnie dużo więcej mieszkańców, ni</w:t>
      </w:r>
      <w:r>
        <w:rPr>
          <w:rFonts w:cs="Calibri"/>
        </w:rPr>
        <w:t>ż</w:t>
      </w:r>
      <w:r>
        <w:rPr/>
        <w:t xml:space="preserve"> przeciętnie całe województwo – 1,8%). </w:t>
      </w:r>
      <w:r>
        <w:rPr>
          <w:szCs w:val="20"/>
        </w:rPr>
        <w:t>Spadek</w:t>
      </w:r>
      <w:r>
        <w:rPr>
          <w:rStyle w:val="Annotationreference"/>
          <w:sz w:val="20"/>
          <w:szCs w:val="20"/>
        </w:rPr>
        <w:t xml:space="preserve"> liczby </w:t>
      </w:r>
      <w:r>
        <w:rPr>
          <w:szCs w:val="20"/>
        </w:rPr>
        <w:t>ludności</w:t>
      </w:r>
      <w:r>
        <w:rPr/>
        <w:t xml:space="preserve"> wystąpił zarówno w miastach, jak i na obszarach wiejskich (przy czym w miastach był zdecydowanie większy). Łącznie w analizowanym okresie liczba ludności zmniejszyła się o 10,1 tys. Zdecydowana większość mieszkańców MOF koncentruje się w miastach, stanowiąc 64,5% ogółu ludności, niemniej jednak jej udział w okresie 2010-2020 spadł o 1,4 pkt proc. (co jest spowodowane znacznie większym ubytkiem ludności w miastach wobec obszarów wiejskich).</w:t>
      </w:r>
      <w:r>
        <w:rPr>
          <w:szCs w:val="20"/>
        </w:rPr>
        <w:t xml:space="preserve"> </w:t>
      </w:r>
      <w:r>
        <w:rPr/>
        <w:t>Bior</w:t>
      </w:r>
      <w:r>
        <w:rPr>
          <w:rFonts w:cs="Calibri"/>
        </w:rPr>
        <w:t>ą</w:t>
      </w:r>
      <w:r>
        <w:rPr/>
        <w:t>c pod uwag</w:t>
      </w:r>
      <w:r>
        <w:rPr>
          <w:rFonts w:cs="Calibri"/>
        </w:rPr>
        <w:t>ę</w:t>
      </w:r>
      <w:r>
        <w:rPr/>
        <w:t xml:space="preserve"> dalsze trendy rozwoju demograficznego MOF Włocławka wynikające z prognozy demograficznej </w:t>
      </w:r>
      <w:r>
        <w:rPr>
          <w:szCs w:val="20"/>
        </w:rPr>
        <w:t xml:space="preserve">GUS na lata 2017-2030, </w:t>
      </w:r>
      <w:r>
        <w:rPr/>
        <w:t>należy spodziewać się dalszego spadku liczby mieszka</w:t>
      </w:r>
      <w:r>
        <w:rPr>
          <w:rFonts w:cs="Calibri"/>
        </w:rPr>
        <w:t xml:space="preserve">ńców. W roku docelowym prognozy, populacja MOF wynosić ma 183,4 tys. mieszkańców, co oznaczałoby spadek na poziomie 5,9% w stosunku </w:t>
        <w:br/>
        <w:t>do roku 2020</w:t>
      </w:r>
      <w:r>
        <w:rPr>
          <w:rStyle w:val="Zakotwiczenieprzypisudolnego"/>
          <w:rFonts w:cs="Calibri"/>
        </w:rPr>
        <w:footnoteReference w:id="9"/>
      </w:r>
      <w:r>
        <w:rPr>
          <w:rFonts w:cs="Calibri"/>
        </w:rPr>
        <w:t xml:space="preserve">. Weryfikując trafność prognozy okazuje się, że dotychczas jest ona niedoszacowana, bowiem dla okresu 2016-2020 zakładała spadek liczby mieszkańców MOF o 2,1%, natomiast </w:t>
        <w:br/>
        <w:t xml:space="preserve">w rzeczywistości spadek wyniósł 2,5% (różnica pomiędzy rzeczywistym stanem liczby mieszkańców podawanym na rok 2020, a stanem na ten sam rok przewidzianym w prognozie wynosi ok. 640 osób). </w:t>
      </w:r>
      <w:r>
        <w:rPr>
          <w:rFonts w:cs="Calibri"/>
          <w:szCs w:val="20"/>
        </w:rPr>
        <w:t>Pozwala to postawić hipotezę, iż zakładany w prognozie trend będzie się utrzymywał w perspektywie obecnej dekady, jednak faktyczny ubytek może być większy od prognozowanego.</w:t>
      </w:r>
    </w:p>
    <w:p>
      <w:pPr>
        <w:pStyle w:val="Normal"/>
        <w:spacing w:lineRule="auto" w:line="276"/>
        <w:jc w:val="both"/>
        <w:rPr>
          <w:szCs w:val="20"/>
        </w:rPr>
      </w:pPr>
      <w:r>
        <w:rPr/>
        <w:t xml:space="preserve">W </w:t>
      </w:r>
      <w:r>
        <w:rPr>
          <w:szCs w:val="20"/>
        </w:rPr>
        <w:t>strukturze wieku mieszka</w:t>
      </w:r>
      <w:r>
        <w:rPr>
          <w:rFonts w:cs="Calibri"/>
          <w:szCs w:val="20"/>
        </w:rPr>
        <w:t>ń</w:t>
      </w:r>
      <w:r>
        <w:rPr>
          <w:szCs w:val="20"/>
        </w:rPr>
        <w:t>ców MOF obserwuje się zmiany przejawiające się spadkiem udziału mieszkańców w wieku przedprodukcyjnym (z 18,4% do 16,4% w okresie 2010-2020) oraz produkcyjnym (z 64,8% do 59,7%) przy intensywnym wzroście udziału grupy poprodukcyjnej (z 16,9% do 23,9%) – co oznacza, iż społeczeństwo obszaru wyraźnie się starzeje.</w:t>
      </w:r>
    </w:p>
    <w:p>
      <w:pPr>
        <w:pStyle w:val="Normal"/>
        <w:spacing w:lineRule="auto" w:line="276"/>
        <w:jc w:val="both"/>
        <w:rPr>
          <w:szCs w:val="20"/>
        </w:rPr>
      </w:pPr>
      <w:r>
        <w:rPr>
          <w:szCs w:val="20"/>
        </w:rPr>
        <w:t xml:space="preserve">Obserwowane zmiany demograficzne wiążą się z bardzo istotnym problemem ubytku populacji młodych mieszkańców na obszarze MOF, co niesie za sobą różnego rodzaju konsekwencje. Zaliczają </w:t>
        <w:br/>
        <w:t xml:space="preserve">się do nich m. in. problemy z zastępowalnością pokoleniową, spadek zasobów pracowników i kadr </w:t>
        <w:br/>
        <w:t xml:space="preserve">w gospodarce, niski rozwój przedsiębiorczości, czy też malejący potencjał kreatywny. W sytuacji, kiedy problem ten jest powszechny dla większości obszaru kraju, istotnym wyzwaniem staje się zbudowanie atrakcyjnego klimatu i dobrych warunków do życia, kształcenia (w tym również na poziomie wyższym), pracy oraz wypoczynku w miejscu zamieszkania. Podejmowanie i realizowanie działań w tych obszarach jest szansą dla zatrzymania odpływu młodych mieszkańców oraz stworzenia możliwości </w:t>
        <w:br/>
        <w:t xml:space="preserve">do konkurowania obszaru MOF z innymi obszarami (związanymi zwłaszcza z dużymi ośrodkami </w:t>
        <w:br/>
        <w:t xml:space="preserve">w relatywnie niedużej odległości), zwłaszcza na polu gospodarczym. </w:t>
      </w:r>
    </w:p>
    <w:p>
      <w:pPr>
        <w:pStyle w:val="Normal"/>
        <w:spacing w:lineRule="auto" w:line="276"/>
        <w:jc w:val="both"/>
        <w:rPr/>
      </w:pPr>
      <w:bookmarkStart w:id="69" w:name="_Hlk120794376"/>
      <w:r>
        <w:rPr/>
        <w:t xml:space="preserve">W wyniku znaczących zmian demograficznych spowodowanych postępującym zjawiskiem starzenia się społeczeństwa można zaobserwować coraz większe potrzeby w zakresie wsparcia seniorów. Wsparcie to wymaga szeroko zakrojonych działań mających na celu pomoc osobom starszym w codziennym życiu, w integracji ze społeczeństwem oraz przeciwdziałaniu marginalizacji i wykluczeniu społecznemu. Rosnąca populacja osób starszych zmienia także popyt na usługi medyczne i opiekę społeczną. </w:t>
        <w:br/>
        <w:t>W związku z tym niezbędny jest rozwój usług związanych z szeroko pojętą opieką senioralną, w tym wzmacnianie kadr pomocy i integracji społecznej (pielęgniarki środowiskowe, opiekunowie medyczni, opiekunowie osób starszych, opiekunowie w miejscu zamieszkania) oraz rozwój struktur instytucji ją prowadzących. Rosnąca skala potrzeb będzie wymagała także zmian instytucjonalnych. Potrzebne będą dzienne domy pobytu dla seniorów, centra usług środowiskowych, ale także wszelkie zdeinstytucjonalizowane formy opieki nad osobami starszymi. Ważne będzie także kształtowanie jak najbardziej przyjaznych dla seniorów i bezpiecznych przestrzeni publicznych. Istotnym aspektem będzie aktywizacja społeczna ludności starszej, mająca na celu aktywne zagospodarowanie wolnego czasu i sprzyjająca pozostawaniu w zdrowiu fizycznym i psychicznym (w tym poprzez kluby seniora, projekty adresowane do osób starszych). Istnieje także potrzeba upowszechniania systemu opieki zdalnej, związanej z kontrolą stanu zdrowia i umożliwiającej szybkie wezwanie pomocy. Obecnie do najpopularniejszych form opieki zdalnej zalicza się tzw. bransoletki życia, czyli noszone na nadgarstku mobilne urządzenia do przywoływania pomocy wyposażone m.in. w przycisk SOS oraz czujnik upadku. Realizatorem zadań z zakresu polityki społecznej na poziomie województwa jest Regionalny Ośrodek Polityki Społecznej w Toruniu (ROPS). Na poziomie gminnym za zadania ukierunkowane na ludność wymagającą wsparcia odpowiedzialne są Gminne Ośrodki Pomocy Społecznej (GOPS-y).</w:t>
      </w:r>
      <w:bookmarkEnd w:id="69"/>
    </w:p>
    <w:p>
      <w:pPr>
        <w:pStyle w:val="Normal"/>
        <w:spacing w:lineRule="auto" w:line="276"/>
        <w:jc w:val="both"/>
        <w:rPr>
          <w:szCs w:val="20"/>
          <w:highlight w:val="yellow"/>
        </w:rPr>
      </w:pPr>
      <w:r>
        <w:rPr>
          <w:szCs w:val="20"/>
        </w:rPr>
        <w:t xml:space="preserve">Liczba mieszkańców MOF w wieku poprodukcyjnym według stanu na rok 2020 wynosiła 46,4 tys. (stanowiąc 10,2% ludności w tej grupie wiekowej w województwie). Populacja tej grupy dynamicznie wzrasta, co potwierdza zmiana aż o 34,7% w okresie 2010-2020 (przyrost aż o 12,0 tys. osób). Według przytoczonej powyżej prognozy demograficznej, proces starzenia się ludności MOF Włocławka będzie się pogłębiał – czego skutkiem będzie m.in. wzrost liczby mieszkańców w grupie poprodukcyjnej </w:t>
        <w:br/>
        <w:t xml:space="preserve">do 51,4 tys. w roku 2030 (stanowiącej wtenczas aż 28,0% ludności). Zmiany zajdą także w grupie mieszkańców w wieku 80+, której populacja w okresie 2020-2030 według prognozy zwiększy </w:t>
        <w:br/>
        <w:t>się o 37,2% i docelowo wynosić ma 11,3 tys. seniorów.</w:t>
      </w:r>
    </w:p>
    <w:p>
      <w:pPr>
        <w:pStyle w:val="Normal"/>
        <w:spacing w:lineRule="auto" w:line="276"/>
        <w:jc w:val="both"/>
        <w:rPr/>
      </w:pPr>
      <w:r>
        <w:rPr>
          <w:rFonts w:cs="Calibri" w:cstheme="minorHAnsi"/>
          <w:szCs w:val="20"/>
        </w:rPr>
        <w:t xml:space="preserve">Uwzględniając kwestię czynników kształtujących liczbę mieszkańców, MOF Włocławka charakteryzuje się pogarszającym się wskaźnikiem przyrostu naturalnego (PN), który wynosił: </w:t>
      </w:r>
      <w:r>
        <w:rPr>
          <w:rFonts w:cs="Calibri" w:cstheme="minorHAnsi"/>
          <w:b/>
          <w:szCs w:val="20"/>
        </w:rPr>
        <w:t>-1,2</w:t>
      </w:r>
      <w:r>
        <w:rPr>
          <w:rFonts w:cs="Times New Roman"/>
          <w:b/>
          <w:szCs w:val="20"/>
        </w:rPr>
        <w:t>‰</w:t>
      </w:r>
      <w:r>
        <w:rPr>
          <w:rFonts w:cs="Times New Roman"/>
          <w:szCs w:val="20"/>
        </w:rPr>
        <w:t xml:space="preserve"> w latach 2010-2011; </w:t>
      </w:r>
      <w:r>
        <w:rPr>
          <w:rFonts w:cs="Times New Roman"/>
          <w:b/>
          <w:szCs w:val="20"/>
        </w:rPr>
        <w:t>-2,5‰</w:t>
      </w:r>
      <w:r>
        <w:rPr>
          <w:rFonts w:cs="Times New Roman"/>
          <w:szCs w:val="20"/>
        </w:rPr>
        <w:t xml:space="preserve"> w latach 2012-2014; </w:t>
      </w:r>
      <w:r>
        <w:rPr>
          <w:rFonts w:cs="Times New Roman"/>
          <w:b/>
          <w:szCs w:val="20"/>
        </w:rPr>
        <w:t>-2,9‰</w:t>
      </w:r>
      <w:r>
        <w:rPr>
          <w:rFonts w:cs="Times New Roman"/>
          <w:szCs w:val="20"/>
        </w:rPr>
        <w:t xml:space="preserve"> w latach 2015-2017 oraz </w:t>
      </w:r>
      <w:r>
        <w:rPr>
          <w:rFonts w:cs="Times New Roman"/>
          <w:b/>
          <w:szCs w:val="20"/>
        </w:rPr>
        <w:t>-4,5‰</w:t>
      </w:r>
      <w:r>
        <w:rPr>
          <w:rFonts w:cs="Times New Roman"/>
          <w:szCs w:val="20"/>
        </w:rPr>
        <w:t xml:space="preserve"> w latach 2018-2020. Zmiany powodowane są przez wyhamowanie współczynnika urodzeń (co oznacza wolniejszą reprodukcję) oraz przez rosnący współczynnik zgonów (co oznacza większą umieralność) – choć to pierwszy </w:t>
        <w:br/>
        <w:t xml:space="preserve">z wyróżnionych współczynników w większym stopniu odpowiada za spadek wartości PN. Współczynnik urodzeń charakteryzuje się pewnymi wahaniami w poszczególnych latach i przyjmuje widoczny trend spadkowy (z 9,6‰ w roku 2010 do 8,1‰ w roku 2019 i 7,6‰ w roku 2020). Liczba urodzeń w okresie ubiegłej dekady zmniejszyła się z początkowego poziomu ok. 1,8–2,0 tys. rocznie do ok. 1,5 tys. Współczynnik zgonów cechował się z kolei w tym czasie wzrostem (z 10,8‰ w roku 2010 do 11,8‰ </w:t>
        <w:br/>
        <w:t xml:space="preserve">w roku 2019 i 14,1‰ w roku 2020 – choć tak wysoki wynik w roku 2020 spowodowany </w:t>
        <w:br/>
        <w:t>był ponadprzeciętnie wysoką umieralnością w wyniku sytuacji epidemicznej i był to jedyny taki przypadek). W analizowanym okresie doszło do wzrostu liczby zgonów z ok. 2,2 tys. przypadków rocznie do 2,3 tys. (poza rokiem 2020, w którym liczba zgonów znacząco przewyższyła normalny dla tego obszaru poziom i wyniosła 2,7 tys.). Drugi z czynników kształtujących liczbę mieszkańców MOF, czyli saldo migracji (SM), w okresie 2010-2020 przyjmował wartości ujemne</w:t>
      </w:r>
      <w:r>
        <w:rPr>
          <w:rFonts w:cs="Calibri" w:cstheme="minorHAnsi"/>
          <w:szCs w:val="20"/>
        </w:rPr>
        <w:t>, co oznacza, że więcej osób wymeldowało się, aniżeli zameldowało na jego terenie na pobyt stały</w:t>
      </w:r>
      <w:r>
        <w:rPr>
          <w:rStyle w:val="Zakotwiczenieprzypisudolnego"/>
          <w:rFonts w:cs="Calibri" w:cstheme="minorHAnsi"/>
          <w:szCs w:val="20"/>
        </w:rPr>
        <w:footnoteReference w:id="10"/>
      </w:r>
      <w:r>
        <w:rPr>
          <w:rFonts w:cs="Calibri" w:cstheme="minorHAnsi"/>
          <w:szCs w:val="20"/>
        </w:rPr>
        <w:t xml:space="preserve">. W bilansie migracyjnym </w:t>
        <w:br/>
        <w:t xml:space="preserve">za okres 2016-2020 MOF stracił z tego powodu łącznie ok. 2,5 tys. mieszkańców, natomiast w ciągu całej dekady (nie wliczając roku 2015) aż 4,7 tys. Tempo utraty mieszkańców w wyniku migracji wzrosło, o czym świadczy spadek wartości średniorocznego SM z -436 osób w okresie 2010-2014 do -501 osób w okresie 2016-2020. </w:t>
      </w:r>
      <w:r>
        <w:rPr>
          <w:szCs w:val="20"/>
        </w:rPr>
        <w:t>Biorąc pod uwagę całokształt migracji (wszystkie zmiany miejsca zameldowań, łącznie z migracjami międzygminnymi</w:t>
      </w:r>
      <w:r>
        <w:rPr>
          <w:rStyle w:val="Zakotwiczenieprzypisudolnego"/>
          <w:rFonts w:cs="Calibri" w:cstheme="minorHAnsi"/>
          <w:szCs w:val="20"/>
        </w:rPr>
        <w:footnoteReference w:id="11"/>
      </w:r>
      <w:r>
        <w:rPr>
          <w:szCs w:val="20"/>
        </w:rPr>
        <w:t>), to mieszkańcy gmin MOF Włocławka przenoszą się częściej do innych jednostek w obrębie województwa</w:t>
      </w:r>
      <w:r>
        <w:rPr/>
        <w:t xml:space="preserve"> kujawsko-pomorskiego (w okresie 2016-2020 ich udział kształtował się w przedziale 60,8% - 66,9% ogółu odpływu), aniżeli poza region (33,1% - 39,2%). Przeważający kierunek emigracji stanowił odpływ do „miast”, do których w analizowanym okresie przeprowadzało się 52,7% - 55,5% mieszkańców MOF. Zdecydowanie silniejszy wymiar wewnętrzny mają natomiast migracje do gmin MOF Włocławka. Napływ z innych jednostek z obszaru województwa kujawsko-pomorskiego kształtował się w analizowanym okresie na poziomie 79,4% - 82,0%, w stosunku do 18,0% - 20,6% spoza regionu. Charakter napływu jest zróżnicowany, bowiem naprzemiennie występują lata z przewagą napływu z kierunku „miast” (maksymalnie 53,8%) </w:t>
        <w:br/>
        <w:t xml:space="preserve">oraz z kierunku „wsi” (maksymalnie 52,3%). </w:t>
      </w:r>
    </w:p>
    <w:p>
      <w:pPr>
        <w:pStyle w:val="Normal"/>
        <w:rPr>
          <w:highlight w:val="yellow"/>
        </w:rPr>
      </w:pPr>
      <w:r>
        <w:rPr>
          <w:highlight w:val="yellow"/>
        </w:rPr>
      </w:r>
    </w:p>
    <w:p>
      <w:pPr>
        <w:pStyle w:val="TytuMAPiTABEL"/>
        <w:rPr/>
      </w:pPr>
      <w:r>
        <w:rPr/>
      </w:r>
    </w:p>
    <w:p>
      <w:pPr>
        <w:pStyle w:val="TytuMAPiTABEL"/>
        <w:rPr/>
      </w:pPr>
      <w:r>
        <w:rPr/>
        <w:t>Tabela 2.  Liczba ludności i struktura ekonomicznych grup wieku w 2010 r. i 2020 r.</w:t>
      </w:r>
    </w:p>
    <w:tbl>
      <w:tblPr>
        <w:tblW w:w="9057"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11"/>
        <w:gridCol w:w="2268"/>
        <w:gridCol w:w="991"/>
        <w:gridCol w:w="993"/>
        <w:gridCol w:w="850"/>
        <w:gridCol w:w="709"/>
        <w:gridCol w:w="567"/>
        <w:gridCol w:w="850"/>
        <w:gridCol w:w="709"/>
        <w:gridCol w:w="708"/>
      </w:tblGrid>
      <w:tr>
        <w:trPr>
          <w:trHeight w:val="299" w:hRule="atLeast"/>
        </w:trPr>
        <w:tc>
          <w:tcPr>
            <w:tcW w:w="2679"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1984"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Liczba mieszkańców (osoby)</w:t>
            </w:r>
          </w:p>
        </w:tc>
        <w:tc>
          <w:tcPr>
            <w:tcW w:w="4393" w:type="dxa"/>
            <w:gridSpan w:val="6"/>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 xml:space="preserve">Udział mieszkańców według </w:t>
            </w:r>
          </w:p>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poszczególnych grup wiekowych (%)</w:t>
            </w:r>
          </w:p>
        </w:tc>
      </w:tr>
      <w:tr>
        <w:trPr>
          <w:trHeight w:val="299" w:hRule="atLeast"/>
        </w:trPr>
        <w:tc>
          <w:tcPr>
            <w:tcW w:w="2679"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1984"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1559"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przedprodukcyjny</w:t>
            </w:r>
          </w:p>
        </w:tc>
        <w:tc>
          <w:tcPr>
            <w:tcW w:w="1417"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produkcyjny</w:t>
            </w:r>
          </w:p>
        </w:tc>
        <w:tc>
          <w:tcPr>
            <w:tcW w:w="1417"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poprodukcyjny</w:t>
            </w:r>
          </w:p>
        </w:tc>
      </w:tr>
      <w:tr>
        <w:trPr>
          <w:trHeight w:val="299" w:hRule="atLeast"/>
        </w:trPr>
        <w:tc>
          <w:tcPr>
            <w:tcW w:w="2679"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tcPr>
          <w:p>
            <w:pPr>
              <w:pStyle w:val="Normal"/>
              <w:widowControl w:val="false"/>
              <w:spacing w:lineRule="auto" w:line="276" w:before="40" w:after="40"/>
              <w:jc w:val="center"/>
              <w:rPr>
                <w:rFonts w:eastAsia="Times New Roman" w:cs="Calibri" w:cstheme="minorHAnsi"/>
                <w:b/>
                <w:color w:val="FFFFFF" w:themeColor="background1"/>
                <w:sz w:val="18"/>
                <w:szCs w:val="18"/>
                <w:highlight w:val="darkGray"/>
                <w:lang w:eastAsia="pl-PL"/>
              </w:rPr>
            </w:pPr>
            <w:r>
              <w:rPr>
                <w:rFonts w:eastAsia="Times New Roman" w:cs="Calibri" w:cstheme="minorHAnsi"/>
                <w:b/>
                <w:color w:val="FFFFFF" w:themeColor="background1"/>
                <w:sz w:val="18"/>
                <w:szCs w:val="18"/>
                <w:highlight w:val="darkGray"/>
                <w:lang w:eastAsia="pl-PL"/>
              </w:rPr>
            </w:r>
          </w:p>
        </w:tc>
        <w:tc>
          <w:tcPr>
            <w:tcW w:w="99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99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85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70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567"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85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70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708"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76"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r>
      <w:tr>
        <w:trPr>
          <w:trHeight w:val="299" w:hRule="atLeast"/>
        </w:trPr>
        <w:tc>
          <w:tcPr>
            <w:tcW w:w="2679" w:type="dxa"/>
            <w:gridSpan w:val="2"/>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rPr>
                <w:rFonts w:cs="Calibri" w:cstheme="minorHAnsi"/>
                <w:b/>
                <w:bCs/>
                <w:sz w:val="18"/>
                <w:szCs w:val="18"/>
              </w:rPr>
            </w:pPr>
            <w:r>
              <w:rPr>
                <w:rFonts w:cs="Calibri" w:cstheme="minorHAnsi"/>
                <w:b/>
                <w:bCs/>
                <w:sz w:val="18"/>
                <w:szCs w:val="18"/>
              </w:rPr>
              <w:t>MOF Włocławka</w:t>
            </w:r>
          </w:p>
        </w:tc>
        <w:tc>
          <w:tcPr>
            <w:tcW w:w="99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204 308</w:t>
            </w:r>
          </w:p>
        </w:tc>
        <w:tc>
          <w:tcPr>
            <w:tcW w:w="99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194 207</w:t>
            </w:r>
          </w:p>
        </w:tc>
        <w:tc>
          <w:tcPr>
            <w:tcW w:w="85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18,4</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16,4</w:t>
            </w:r>
          </w:p>
        </w:tc>
        <w:tc>
          <w:tcPr>
            <w:tcW w:w="5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64,8</w:t>
            </w:r>
          </w:p>
        </w:tc>
        <w:tc>
          <w:tcPr>
            <w:tcW w:w="85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59,7</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16,9</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23,9</w:t>
            </w:r>
          </w:p>
        </w:tc>
      </w:tr>
      <w:tr>
        <w:trPr>
          <w:trHeight w:val="299" w:hRule="atLeast"/>
        </w:trPr>
        <w:tc>
          <w:tcPr>
            <w:tcW w:w="411"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tcPr>
          <w:p>
            <w:pPr>
              <w:pStyle w:val="Normal"/>
              <w:widowControl w:val="false"/>
              <w:spacing w:lineRule="auto" w:line="276" w:before="40" w:after="40"/>
              <w:ind w:left="113" w:right="113" w:hanging="0"/>
              <w:jc w:val="center"/>
              <w:rPr>
                <w:rFonts w:cs="Calibri" w:cstheme="minorHAnsi"/>
                <w:b/>
                <w:bCs/>
                <w:sz w:val="18"/>
                <w:szCs w:val="18"/>
              </w:rPr>
            </w:pPr>
            <w:r>
              <w:rPr>
                <w:rFonts w:cs="Calibri" w:cstheme="minorHAnsi"/>
                <w:b/>
                <w:bCs/>
                <w:sz w:val="18"/>
                <w:szCs w:val="18"/>
              </w:rPr>
              <w:t>Gminy</w:t>
            </w:r>
          </w:p>
        </w:tc>
        <w:tc>
          <w:tcPr>
            <w:tcW w:w="226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Baruchowo</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3 583</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3 407</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20,3</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17,0</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62,3</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61,1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17,4</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21,9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Boniewo</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3 592</w:t>
            </w:r>
          </w:p>
        </w:tc>
        <w:tc>
          <w:tcPr>
            <w:tcW w:w="993"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3 346</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21,0</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17,5</w:t>
            </w:r>
          </w:p>
        </w:tc>
        <w:tc>
          <w:tcPr>
            <w:tcW w:w="567"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61,1</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61,1</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17,9</w:t>
            </w:r>
          </w:p>
        </w:tc>
        <w:tc>
          <w:tcPr>
            <w:tcW w:w="70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21,5</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Brześć Kujawski</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11 572</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11 352</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19,9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17,4</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64,1</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61,8</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16,1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20,8</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Choceń</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8 111</w:t>
            </w:r>
          </w:p>
        </w:tc>
        <w:tc>
          <w:tcPr>
            <w:tcW w:w="993"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7 910</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19,9</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17,3</w:t>
            </w:r>
          </w:p>
        </w:tc>
        <w:tc>
          <w:tcPr>
            <w:tcW w:w="567"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63,8</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62,0</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16,2</w:t>
            </w:r>
          </w:p>
        </w:tc>
        <w:tc>
          <w:tcPr>
            <w:tcW w:w="70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20,7</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Chodecz</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6 324</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5 972</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18,8</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17,1</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64,5</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61,1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16,7</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21,8</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Fabianki</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color w:val="00B050"/>
                <w:sz w:val="18"/>
                <w:szCs w:val="18"/>
              </w:rPr>
              <w:t>9 385</w:t>
            </w:r>
          </w:p>
        </w:tc>
        <w:tc>
          <w:tcPr>
            <w:tcW w:w="993"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10 178</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21,0</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18,3</w:t>
            </w:r>
          </w:p>
        </w:tc>
        <w:tc>
          <w:tcPr>
            <w:tcW w:w="567"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66,9</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63,3</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12,1</w:t>
            </w:r>
          </w:p>
        </w:tc>
        <w:tc>
          <w:tcPr>
            <w:tcW w:w="70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18,4</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Izbica Kujawska</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7 968</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7 650</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21,5</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18,2</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62,3</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61,4</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16,1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20,4</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Kowal (miejska)</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3 513</w:t>
            </w:r>
          </w:p>
        </w:tc>
        <w:tc>
          <w:tcPr>
            <w:tcW w:w="993"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3 456</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17,8</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14,9</w:t>
            </w:r>
          </w:p>
        </w:tc>
        <w:tc>
          <w:tcPr>
            <w:tcW w:w="567"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66,3</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63,6</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15,9</w:t>
            </w:r>
          </w:p>
        </w:tc>
        <w:tc>
          <w:tcPr>
            <w:tcW w:w="70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21,5</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Kowal (wiejska)</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4 005</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3 897</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20,1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16,0</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62,7</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62,7</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17,2</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21,2</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Lubanie</w:t>
            </w:r>
          </w:p>
        </w:tc>
        <w:tc>
          <w:tcPr>
            <w:tcW w:w="9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4670</w:t>
            </w:r>
          </w:p>
        </w:tc>
        <w:tc>
          <w:tcPr>
            <w:tcW w:w="9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4 550</w:t>
            </w:r>
          </w:p>
        </w:tc>
        <w:tc>
          <w:tcPr>
            <w:tcW w:w="850"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20,5</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17,0</w:t>
            </w:r>
          </w:p>
        </w:tc>
        <w:tc>
          <w:tcPr>
            <w:tcW w:w="567"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63,9</w:t>
            </w:r>
          </w:p>
        </w:tc>
        <w:tc>
          <w:tcPr>
            <w:tcW w:w="850"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62,6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15,7</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20,4</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Lubień Kujawski</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7 618</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7 233</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20,0</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16,9</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62,9</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60,8</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17,2</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22,3</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Lubraniec</w:t>
            </w:r>
          </w:p>
        </w:tc>
        <w:tc>
          <w:tcPr>
            <w:tcW w:w="9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color w:val="00B050"/>
                <w:sz w:val="18"/>
                <w:szCs w:val="18"/>
              </w:rPr>
            </w:pPr>
            <w:r>
              <w:rPr>
                <w:rFonts w:cs="Calibri" w:cstheme="minorHAnsi"/>
                <w:color w:val="00B050"/>
                <w:sz w:val="18"/>
                <w:szCs w:val="18"/>
              </w:rPr>
              <w:t>9 978</w:t>
            </w:r>
          </w:p>
        </w:tc>
        <w:tc>
          <w:tcPr>
            <w:tcW w:w="9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9 318</w:t>
            </w:r>
          </w:p>
        </w:tc>
        <w:tc>
          <w:tcPr>
            <w:tcW w:w="850"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19,6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16,9</w:t>
            </w:r>
          </w:p>
        </w:tc>
        <w:tc>
          <w:tcPr>
            <w:tcW w:w="567"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62,5</w:t>
            </w:r>
          </w:p>
        </w:tc>
        <w:tc>
          <w:tcPr>
            <w:tcW w:w="850"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60,1</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17,9</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23,0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Włocławek (miejska)</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color w:val="FF0000"/>
                <w:sz w:val="18"/>
                <w:szCs w:val="18"/>
              </w:rPr>
            </w:pPr>
            <w:r>
              <w:rPr>
                <w:rFonts w:eastAsia="Times New Roman" w:cs="Calibri" w:cstheme="minorHAnsi"/>
                <w:color w:val="00B050"/>
                <w:sz w:val="18"/>
                <w:szCs w:val="18"/>
                <w:lang w:eastAsia="pl-PL"/>
              </w:rPr>
              <w:t>117 034</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eastAsia="Times New Roman" w:cs="Calibri" w:cstheme="minorHAnsi"/>
                <w:color w:val="00B050"/>
                <w:sz w:val="18"/>
                <w:szCs w:val="18"/>
                <w:lang w:eastAsia="pl-PL"/>
              </w:rPr>
            </w:pPr>
            <w:r>
              <w:rPr>
                <w:rFonts w:eastAsia="Times New Roman" w:cs="Calibri" w:cstheme="minorHAnsi"/>
                <w:color w:val="00B050"/>
                <w:sz w:val="18"/>
                <w:szCs w:val="18"/>
                <w:lang w:eastAsia="pl-PL"/>
              </w:rPr>
              <w:t xml:space="preserve"> </w:t>
            </w:r>
            <w:r>
              <w:rPr>
                <w:rFonts w:eastAsia="Times New Roman" w:cs="Calibri" w:cstheme="minorHAnsi"/>
                <w:color w:val="00B050"/>
                <w:sz w:val="18"/>
                <w:szCs w:val="18"/>
                <w:lang w:eastAsia="pl-PL"/>
              </w:rPr>
              <w:t>108 561</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eastAsia="Times New Roman" w:cs="Calibri" w:cstheme="minorHAnsi"/>
                <w:color w:val="000000"/>
                <w:sz w:val="18"/>
                <w:szCs w:val="18"/>
                <w:lang w:eastAsia="pl-PL"/>
              </w:rPr>
              <w:t>17,1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eastAsia="Times New Roman" w:cs="Calibri" w:cstheme="minorHAnsi"/>
                <w:color w:val="000000"/>
                <w:sz w:val="18"/>
                <w:szCs w:val="18"/>
                <w:lang w:eastAsia="pl-PL"/>
              </w:rPr>
              <w:t>15,8</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eastAsia="Times New Roman" w:cs="Calibri" w:cstheme="minorHAnsi"/>
                <w:color w:val="000000"/>
                <w:sz w:val="18"/>
                <w:szCs w:val="18"/>
                <w:lang w:eastAsia="pl-PL"/>
              </w:rPr>
              <w:t>65,5</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58,0</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17,5</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26,3</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right"/>
              <w:rPr>
                <w:rFonts w:cs="Calibri" w:cstheme="minorHAnsi"/>
                <w:b/>
                <w:bCs/>
                <w:sz w:val="18"/>
                <w:szCs w:val="18"/>
              </w:rPr>
            </w:pPr>
            <w:r>
              <w:rPr>
                <w:rFonts w:cs="Calibri" w:cstheme="minorHAnsi"/>
                <w:b/>
                <w:bCs/>
                <w:sz w:val="18"/>
                <w:szCs w:val="18"/>
              </w:rPr>
            </w:r>
          </w:p>
        </w:tc>
        <w:tc>
          <w:tcPr>
            <w:tcW w:w="226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Włocławek (wiejska)</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color w:val="00B050"/>
                <w:sz w:val="18"/>
                <w:szCs w:val="18"/>
              </w:rPr>
              <w:t>6 930</w:t>
            </w:r>
          </w:p>
        </w:tc>
        <w:tc>
          <w:tcPr>
            <w:tcW w:w="993"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B050"/>
                <w:sz w:val="18"/>
                <w:szCs w:val="18"/>
                <w:lang w:eastAsia="pl-PL"/>
              </w:rPr>
              <w:t>7 365</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21,0</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17,7</w:t>
            </w:r>
          </w:p>
        </w:tc>
        <w:tc>
          <w:tcPr>
            <w:tcW w:w="567"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65,1</w:t>
            </w:r>
          </w:p>
        </w:tc>
        <w:tc>
          <w:tcPr>
            <w:tcW w:w="850"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63,1</w:t>
            </w:r>
          </w:p>
        </w:tc>
        <w:tc>
          <w:tcPr>
            <w:tcW w:w="709"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14,0</w:t>
            </w:r>
          </w:p>
        </w:tc>
        <w:tc>
          <w:tcPr>
            <w:tcW w:w="708" w:type="dxa"/>
            <w:tcBorders>
              <w:top w:val="single" w:sz="12" w:space="0" w:color="AAAAAA"/>
              <w:left w:val="single" w:sz="12" w:space="0" w:color="AAAAAA"/>
              <w:bottom w:val="single" w:sz="12" w:space="0" w:color="AAAAAA"/>
              <w:right w:val="single" w:sz="12" w:space="0" w:color="AAAAAA"/>
            </w:tcBorders>
            <w:shd w:color="auto" w:fill="FFFFFF" w:themeFill="background1" w:val="clear"/>
          </w:tcPr>
          <w:p>
            <w:pPr>
              <w:pStyle w:val="Normal"/>
              <w:widowControl w:val="false"/>
              <w:spacing w:lineRule="auto" w:line="276"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19,2</w:t>
            </w:r>
          </w:p>
        </w:tc>
      </w:tr>
      <w:tr>
        <w:trPr>
          <w:trHeight w:val="299" w:hRule="atLeast"/>
        </w:trPr>
        <w:tc>
          <w:tcPr>
            <w:tcW w:w="2679"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76"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Województwo</w:t>
            </w:r>
          </w:p>
          <w:p>
            <w:pPr>
              <w:pStyle w:val="Normal"/>
              <w:widowControl w:val="false"/>
              <w:spacing w:lineRule="auto" w:line="276" w:before="40" w:after="40"/>
              <w:rPr>
                <w:rFonts w:cs="Calibri" w:cstheme="minorHAnsi"/>
                <w:b/>
                <w:bCs/>
                <w:sz w:val="18"/>
                <w:szCs w:val="18"/>
              </w:rPr>
            </w:pPr>
            <w:r>
              <w:rPr>
                <w:rFonts w:eastAsia="Times New Roman" w:cs="Calibri" w:cstheme="minorHAnsi"/>
                <w:b/>
                <w:bCs/>
                <w:sz w:val="18"/>
                <w:szCs w:val="18"/>
                <w:lang w:eastAsia="pl-PL"/>
              </w:rPr>
              <w:t>kujawsko-pomorskie</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2 098 686</w:t>
            </w:r>
          </w:p>
        </w:tc>
        <w:tc>
          <w:tcPr>
            <w:tcW w:w="9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2 061 930</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19,4</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18,0</w:t>
            </w:r>
          </w:p>
        </w:tc>
        <w:tc>
          <w:tcPr>
            <w:tcW w:w="5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64,7</w:t>
            </w:r>
          </w:p>
        </w:tc>
        <w:tc>
          <w:tcPr>
            <w:tcW w:w="85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59,9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16,0</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76" w:before="40" w:after="40"/>
              <w:jc w:val="center"/>
              <w:rPr>
                <w:rFonts w:cs="Calibri" w:cstheme="minorHAnsi"/>
                <w:sz w:val="18"/>
                <w:szCs w:val="18"/>
              </w:rPr>
            </w:pPr>
            <w:r>
              <w:rPr>
                <w:rFonts w:cs="Calibri" w:cstheme="minorHAnsi"/>
                <w:sz w:val="18"/>
                <w:szCs w:val="18"/>
              </w:rPr>
              <w:t>22,1</w:t>
            </w:r>
          </w:p>
        </w:tc>
      </w:tr>
    </w:tbl>
    <w:p>
      <w:pPr>
        <w:pStyle w:val="RdoTABEL"/>
        <w:rPr/>
      </w:pPr>
      <w:r>
        <w:rPr/>
        <w:t>Źródło: Opracowanie KPBPPiR o. Bydgoszcz na podstawie BDL GUS</w:t>
      </w:r>
    </w:p>
    <w:p>
      <w:pPr>
        <w:pStyle w:val="RdoTABEL"/>
        <w:rPr/>
      </w:pPr>
      <w:r>
        <w:rPr/>
      </w:r>
    </w:p>
    <w:p>
      <w:pPr>
        <w:pStyle w:val="2poziom"/>
        <w:numPr>
          <w:ilvl w:val="0"/>
          <w:numId w:val="0"/>
        </w:numPr>
        <w:ind w:left="851" w:hanging="567"/>
        <w:rPr/>
      </w:pPr>
      <w:bookmarkStart w:id="70" w:name="_Toc143161897"/>
      <w:r>
        <w:rPr/>
        <w:t>2.6. Przedsiębiorczość</w:t>
      </w:r>
      <w:bookmarkEnd w:id="70"/>
    </w:p>
    <w:p>
      <w:pPr>
        <w:pStyle w:val="Normal"/>
        <w:spacing w:lineRule="auto" w:line="276"/>
        <w:jc w:val="both"/>
        <w:rPr/>
      </w:pPr>
      <w:r>
        <w:rPr/>
        <w:t>Na terenie MOF Włocławka w 2020 r. funkcjonowało 17 647 podmiotów gospodarczych wpisanych do rejestru REGON (stanowiło to 8,4% wszystkich podmiotów działających na terenie województwa kujawsko-pomorskiego), z czego 62,2% to podmioty znajdujące się na terenie gminy miejskiej Włocławek. Liczba podmiotów gospodarczych w przeliczeniu na 1 tys. mieszkańców dawała wartość 90,9, co stanowiło 89,3% wartości wskaźnika dla całego regionu i 74,6% wartości dla kraju. W latach 2010-2020 wskaźnik dla tego obszaru odnotował bardzo mały wzrost na tle całego województwa.</w:t>
      </w:r>
    </w:p>
    <w:p>
      <w:pPr>
        <w:pStyle w:val="Normal"/>
        <w:spacing w:lineRule="auto" w:line="276"/>
        <w:jc w:val="both"/>
        <w:rPr/>
      </w:pPr>
      <w:r>
        <w:rPr/>
        <w:t xml:space="preserve">Udział liczby pomiotów gospodarczych wpisanych do rejestru REGON na 1 tys. mieszkańców </w:t>
        <w:br/>
        <w:t xml:space="preserve">w poszczególnych gminach znajdujących się na obszarze MOF cechuje się dużą rozpiętością wartości - od 117,1 oraz 110,1 podmiotów na 1 tys. osób odpowiednio w gminach miejskiej Kowal oraz Fabianki (jedyne wartości w powiecie przewyższające średnią wojewódzką, 11. i 16. pozycja w regionie), </w:t>
        <w:br/>
        <w:t>po wartość 47,8 w gminie Boniewo - była to 2. najniższa wartość tego wskaźnika spośród wszystkich gmin w województwie. W 7 gminach wartość wskaźnika nie przekraczała 70,0 podmiotów na 1 tys. osób. Natomiast wartość wskaźnika dla gminy miejskiej Włocławek wynosiła 101,1 (o 0,6 pkt proc. mniej niż średnio w województwie) co przekłada się na 22. pozycję w regionie.</w:t>
      </w:r>
    </w:p>
    <w:p>
      <w:pPr>
        <w:pStyle w:val="Normal"/>
        <w:spacing w:lineRule="auto" w:line="276"/>
        <w:jc w:val="both"/>
        <w:rPr/>
      </w:pPr>
      <w:r>
        <w:rPr/>
        <w:t xml:space="preserve">Liczba osób fizycznych prowadzących działalność gospodarczą na terenie analizowanego MOF </w:t>
        <w:br/>
        <w:t>w 2020 r. wynosiła 13 310. W przeliczeniu na 100 osób w wieku produkcyjnym zamieszkujących ten obszar dawało to wartość wynoszącą 11,5. Wartość wskaźnika dla MOF stanowiła 91,7% wartości dla województwa i 78,6% wartości dla kraju. W latach 2012-2020 wskaźnik ten cechował się bardzo małym wzrostem wartości na tle całego regionu.</w:t>
      </w:r>
    </w:p>
    <w:p>
      <w:pPr>
        <w:pStyle w:val="Normal"/>
        <w:spacing w:lineRule="auto" w:line="276"/>
        <w:jc w:val="both"/>
        <w:rPr/>
      </w:pPr>
      <w:r>
        <w:rPr/>
        <w:t>Podobnie jak w przypadku ogólnego wskaźnika przedsiębiorczości na poziomie poszczególnych gmin na analizowanym MOF obserwuje się duże zróżnicowanie wartości wskaźnika liczby osób fizycznych prowadzących działalność gospodarcza na 100 osób w wieku produkcyjnym – od wartości 6,0 podmiotów na 100 osób w wieku produkcyjnym w gminie Boniewo (2. najniższa wartość wśród wszystkich gmin w województwie), do wartości 14,9 oraz 15,0 odpowiednio w gminach miejskiej Kowal oraz Fabianki (obie wartości były wyższe niż średnia wartość nie tylko dla regionu ale również dla Polski, pozycjonowało to gminy na 14. i 16. miejscu w regionie). Poza dwiema powyższymi gminami wartość wskaźnika powyżej średniej wojewódzkiej występowała również w gminie miejskiej Włocławek gdzie wynosiła 12,6, co przekładało się na 28. pozycję na 144 gminy w regionie.</w:t>
      </w:r>
    </w:p>
    <w:p>
      <w:pPr>
        <w:pStyle w:val="Normal"/>
        <w:spacing w:lineRule="auto" w:line="276"/>
        <w:jc w:val="both"/>
        <w:rPr/>
      </w:pPr>
      <w:r>
        <w:rPr/>
        <w:t>Za problemowy uznać należy stan rozwoju przedsiębiorczości miasta Włocławek, które stanowić powinno silny ośrodek gospodarczy i duży rynek pracy dla mieszkańców miasta i obszaru funkcjonalnego, gdy tymczasem zarówno ogólny wskaźnik przedsiębiorczości, jak i wskaźnik odnoszący się do osób fizycznych prowadzących działalność gospodarczą, przybierają wartości znacznie niższe niż w większości miast na prawach powiatu w Polsce (w 2020 roku Włocławek zajmował odpowiednio 57. i 52. pozycję wśród 66 miast na prawach powiatu).</w:t>
      </w:r>
    </w:p>
    <w:p>
      <w:pPr>
        <w:pStyle w:val="TytuMAPiTABEL"/>
        <w:rPr>
          <w:lang w:eastAsia="pl-PL"/>
        </w:rPr>
      </w:pPr>
      <w:r>
        <w:rPr/>
        <w:t xml:space="preserve">Tabela 3.  </w:t>
      </w:r>
      <w:r>
        <w:rPr>
          <w:lang w:eastAsia="pl-PL"/>
        </w:rPr>
        <w:t>Podmioty gospodarcze wpisane do rejestru REGON na terenie MOF Włocławka w 2020 r.</w:t>
      </w:r>
    </w:p>
    <w:tbl>
      <w:tblPr>
        <w:tblW w:w="9199"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11"/>
        <w:gridCol w:w="2267"/>
        <w:gridCol w:w="1559"/>
        <w:gridCol w:w="1701"/>
        <w:gridCol w:w="1560"/>
        <w:gridCol w:w="1700"/>
      </w:tblGrid>
      <w:tr>
        <w:trPr>
          <w:trHeight w:val="338" w:hRule="atLeast"/>
        </w:trPr>
        <w:tc>
          <w:tcPr>
            <w:tcW w:w="2678"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3260"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Podmioty gospodarcze wpisane do rejestru REGON</w:t>
            </w:r>
          </w:p>
        </w:tc>
        <w:tc>
          <w:tcPr>
            <w:tcW w:w="3260"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Osoby fizyczne prowadzące działalność gospodarczą</w:t>
            </w:r>
          </w:p>
        </w:tc>
      </w:tr>
      <w:tr>
        <w:trPr>
          <w:trHeight w:val="415" w:hRule="atLeast"/>
        </w:trPr>
        <w:tc>
          <w:tcPr>
            <w:tcW w:w="2678"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155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Liczba</w:t>
            </w:r>
          </w:p>
        </w:tc>
        <w:tc>
          <w:tcPr>
            <w:tcW w:w="170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Na 1 tys. ludności</w:t>
            </w:r>
          </w:p>
        </w:tc>
        <w:tc>
          <w:tcPr>
            <w:tcW w:w="156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Liczba</w:t>
            </w:r>
          </w:p>
        </w:tc>
        <w:tc>
          <w:tcPr>
            <w:tcW w:w="170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Na 100 osób w wieku produkcyjnym</w:t>
            </w:r>
          </w:p>
        </w:tc>
      </w:tr>
      <w:tr>
        <w:trPr>
          <w:trHeight w:val="299" w:hRule="atLeast"/>
        </w:trPr>
        <w:tc>
          <w:tcPr>
            <w:tcW w:w="2678" w:type="dxa"/>
            <w:gridSpan w:val="2"/>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MOF Włocławka</w:t>
            </w:r>
          </w:p>
        </w:tc>
        <w:tc>
          <w:tcPr>
            <w:tcW w:w="1559"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17 647</w:t>
            </w:r>
          </w:p>
        </w:tc>
        <w:tc>
          <w:tcPr>
            <w:tcW w:w="17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90,9</w:t>
            </w:r>
          </w:p>
        </w:tc>
        <w:tc>
          <w:tcPr>
            <w:tcW w:w="1560"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13 310</w:t>
            </w:r>
          </w:p>
        </w:tc>
        <w:tc>
          <w:tcPr>
            <w:tcW w:w="1700"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11,5</w:t>
            </w:r>
          </w:p>
        </w:tc>
      </w:tr>
      <w:tr>
        <w:trPr>
          <w:trHeight w:val="299" w:hRule="atLeast"/>
        </w:trPr>
        <w:tc>
          <w:tcPr>
            <w:tcW w:w="411"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vAlign w:val="center"/>
          </w:tcPr>
          <w:p>
            <w:pPr>
              <w:pStyle w:val="Normal"/>
              <w:widowControl w:val="false"/>
              <w:spacing w:lineRule="auto" w:line="240" w:before="40" w:after="40"/>
              <w:ind w:left="113" w:right="113" w:hanging="0"/>
              <w:jc w:val="center"/>
              <w:rPr>
                <w:rFonts w:cs="Calibri" w:cstheme="minorHAnsi"/>
                <w:b/>
                <w:bCs/>
                <w:sz w:val="18"/>
                <w:szCs w:val="18"/>
              </w:rPr>
            </w:pPr>
            <w:r>
              <w:rPr>
                <w:rFonts w:cs="Calibri" w:cstheme="minorHAnsi"/>
                <w:b/>
                <w:bCs/>
                <w:sz w:val="18"/>
                <w:szCs w:val="18"/>
              </w:rPr>
              <w:t>Gminy</w:t>
            </w:r>
          </w:p>
        </w:tc>
        <w:tc>
          <w:tcPr>
            <w:tcW w:w="22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trike/>
                <w:sz w:val="18"/>
                <w:szCs w:val="18"/>
                <w:lang w:eastAsia="pl-PL"/>
              </w:rPr>
            </w:pPr>
            <w:r>
              <w:rPr>
                <w:rFonts w:cs="Calibri" w:cstheme="minorHAnsi"/>
                <w:b/>
                <w:bCs/>
                <w:sz w:val="18"/>
                <w:szCs w:val="18"/>
              </w:rPr>
              <w:t>Baruchowo</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253</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74,3</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200</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9,6</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trike/>
                <w:sz w:val="18"/>
                <w:szCs w:val="18"/>
                <w:lang w:eastAsia="pl-PL"/>
              </w:rPr>
            </w:pPr>
            <w:r>
              <w:rPr>
                <w:rFonts w:cs="Calibri" w:cstheme="minorHAnsi"/>
                <w:b/>
                <w:bCs/>
                <w:sz w:val="18"/>
                <w:szCs w:val="18"/>
              </w:rPr>
              <w:t>Boniewo</w:t>
            </w:r>
          </w:p>
        </w:tc>
        <w:tc>
          <w:tcPr>
            <w:tcW w:w="1559"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160</w:t>
            </w:r>
          </w:p>
        </w:tc>
        <w:tc>
          <w:tcPr>
            <w:tcW w:w="17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47,8</w:t>
            </w:r>
          </w:p>
        </w:tc>
        <w:tc>
          <w:tcPr>
            <w:tcW w:w="1560"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123</w:t>
            </w:r>
          </w:p>
        </w:tc>
        <w:tc>
          <w:tcPr>
            <w:tcW w:w="1700"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trike/>
                <w:sz w:val="18"/>
                <w:szCs w:val="18"/>
                <w:lang w:eastAsia="pl-PL"/>
              </w:rPr>
            </w:pPr>
            <w:r>
              <w:rPr>
                <w:rFonts w:cs="Calibri" w:cstheme="minorHAnsi"/>
                <w:b/>
                <w:bCs/>
                <w:sz w:val="18"/>
                <w:szCs w:val="18"/>
              </w:rPr>
              <w:t>Brześć Kujawski</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915</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80,6</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695</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trike/>
                <w:sz w:val="18"/>
                <w:szCs w:val="18"/>
                <w:lang w:eastAsia="pl-PL"/>
              </w:rPr>
            </w:pPr>
            <w:r>
              <w:rPr>
                <w:rFonts w:cs="Calibri" w:cstheme="minorHAnsi"/>
                <w:b/>
                <w:bCs/>
                <w:sz w:val="18"/>
                <w:szCs w:val="18"/>
              </w:rPr>
              <w:t xml:space="preserve">Choceń </w:t>
            </w:r>
          </w:p>
        </w:tc>
        <w:tc>
          <w:tcPr>
            <w:tcW w:w="1559"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528</w:t>
            </w:r>
          </w:p>
        </w:tc>
        <w:tc>
          <w:tcPr>
            <w:tcW w:w="17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66,8</w:t>
            </w:r>
          </w:p>
        </w:tc>
        <w:tc>
          <w:tcPr>
            <w:tcW w:w="1560"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434</w:t>
            </w:r>
          </w:p>
        </w:tc>
        <w:tc>
          <w:tcPr>
            <w:tcW w:w="1700"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8,9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trike/>
                <w:sz w:val="18"/>
                <w:szCs w:val="18"/>
                <w:lang w:eastAsia="pl-PL"/>
              </w:rPr>
            </w:pPr>
            <w:r>
              <w:rPr>
                <w:rFonts w:cs="Calibri" w:cstheme="minorHAnsi"/>
                <w:b/>
                <w:bCs/>
                <w:sz w:val="18"/>
                <w:szCs w:val="18"/>
              </w:rPr>
              <w:t>Chodecz</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435</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72,8</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334</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9,2</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trike/>
                <w:sz w:val="18"/>
                <w:szCs w:val="18"/>
              </w:rPr>
            </w:pPr>
            <w:r>
              <w:rPr>
                <w:rFonts w:cs="Calibri" w:cstheme="minorHAnsi"/>
                <w:b/>
                <w:bCs/>
                <w:sz w:val="18"/>
                <w:szCs w:val="18"/>
              </w:rPr>
              <w:t>Fabianki</w:t>
            </w:r>
          </w:p>
        </w:tc>
        <w:tc>
          <w:tcPr>
            <w:tcW w:w="155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1 121</w:t>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110,1</w:t>
            </w:r>
          </w:p>
        </w:tc>
        <w:tc>
          <w:tcPr>
            <w:tcW w:w="156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964</w:t>
            </w:r>
          </w:p>
        </w:tc>
        <w:tc>
          <w:tcPr>
            <w:tcW w:w="170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15,0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Izbica Kujawska</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524</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68,5</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445</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9,5</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Kowal (miejska)</w:t>
            </w:r>
          </w:p>
        </w:tc>
        <w:tc>
          <w:tcPr>
            <w:tcW w:w="155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406</w:t>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117,1</w:t>
            </w:r>
          </w:p>
        </w:tc>
        <w:tc>
          <w:tcPr>
            <w:tcW w:w="156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328</w:t>
            </w:r>
          </w:p>
        </w:tc>
        <w:tc>
          <w:tcPr>
            <w:tcW w:w="170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14,9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Kowal (wiejska)</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z w:val="18"/>
                <w:szCs w:val="18"/>
              </w:rPr>
            </w:pPr>
            <w:r>
              <w:rPr>
                <w:rFonts w:cs="Calibri" w:cstheme="minorHAnsi"/>
                <w:sz w:val="18"/>
                <w:szCs w:val="18"/>
              </w:rPr>
              <w:t>264</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z w:val="18"/>
                <w:szCs w:val="18"/>
              </w:rPr>
            </w:pPr>
            <w:r>
              <w:rPr>
                <w:rFonts w:cs="Calibri" w:cstheme="minorHAnsi"/>
                <w:sz w:val="18"/>
                <w:szCs w:val="18"/>
              </w:rPr>
              <w:t>67,7</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z w:val="18"/>
                <w:szCs w:val="18"/>
              </w:rPr>
            </w:pPr>
            <w:r>
              <w:rPr>
                <w:rFonts w:cs="Calibri" w:cstheme="minorHAnsi"/>
                <w:sz w:val="18"/>
                <w:szCs w:val="18"/>
              </w:rPr>
              <w:t>209</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z w:val="18"/>
                <w:szCs w:val="18"/>
              </w:rPr>
            </w:pPr>
            <w:r>
              <w:rPr>
                <w:rFonts w:cs="Calibri" w:cstheme="minorHAnsi"/>
                <w:sz w:val="18"/>
                <w:szCs w:val="18"/>
              </w:rPr>
              <w:t>8,6</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Lubanie</w:t>
            </w:r>
          </w:p>
        </w:tc>
        <w:tc>
          <w:tcPr>
            <w:tcW w:w="155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312</w:t>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68,6</w:t>
            </w:r>
          </w:p>
        </w:tc>
        <w:tc>
          <w:tcPr>
            <w:tcW w:w="156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250</w:t>
            </w:r>
          </w:p>
        </w:tc>
        <w:tc>
          <w:tcPr>
            <w:tcW w:w="170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8,8</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Lubień Kujawski</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466</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64,4</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368</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8,4</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Lubraniec</w:t>
            </w:r>
          </w:p>
        </w:tc>
        <w:tc>
          <w:tcPr>
            <w:tcW w:w="155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615</w:t>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66,0</w:t>
            </w:r>
          </w:p>
        </w:tc>
        <w:tc>
          <w:tcPr>
            <w:tcW w:w="156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484</w:t>
            </w:r>
          </w:p>
        </w:tc>
        <w:tc>
          <w:tcPr>
            <w:tcW w:w="170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8,6</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Włocławek (miejska)</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10 972</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101,1</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9 734</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12,6</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226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Włocławek (wiejska)</w:t>
            </w:r>
          </w:p>
        </w:tc>
        <w:tc>
          <w:tcPr>
            <w:tcW w:w="155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676</w:t>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91,8</w:t>
            </w:r>
          </w:p>
        </w:tc>
        <w:tc>
          <w:tcPr>
            <w:tcW w:w="156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542</w:t>
            </w:r>
          </w:p>
        </w:tc>
        <w:tc>
          <w:tcPr>
            <w:tcW w:w="170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0"/>
              <w:jc w:val="center"/>
              <w:rPr>
                <w:rFonts w:cs="Calibri" w:cstheme="minorHAnsi"/>
                <w:strike/>
                <w:sz w:val="18"/>
                <w:szCs w:val="18"/>
              </w:rPr>
            </w:pPr>
            <w:r>
              <w:rPr>
                <w:rFonts w:cs="Calibri" w:cstheme="minorHAnsi"/>
                <w:sz w:val="18"/>
                <w:szCs w:val="18"/>
              </w:rPr>
              <w:t>11,7</w:t>
            </w:r>
          </w:p>
        </w:tc>
      </w:tr>
      <w:tr>
        <w:trPr>
          <w:trHeight w:val="331" w:hRule="atLeast"/>
        </w:trPr>
        <w:tc>
          <w:tcPr>
            <w:tcW w:w="2678"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Województwo</w:t>
            </w:r>
          </w:p>
          <w:p>
            <w:pPr>
              <w:pStyle w:val="Normal"/>
              <w:widowControl w:val="false"/>
              <w:spacing w:lineRule="auto" w:line="240" w:before="40" w:after="40"/>
              <w:rPr>
                <w:rFonts w:cs="Calibri" w:cstheme="minorHAnsi"/>
                <w:b/>
                <w:bCs/>
                <w:sz w:val="18"/>
                <w:szCs w:val="18"/>
              </w:rPr>
            </w:pPr>
            <w:r>
              <w:rPr>
                <w:rFonts w:eastAsia="Times New Roman" w:cs="Calibri" w:cstheme="minorHAnsi"/>
                <w:b/>
                <w:bCs/>
                <w:sz w:val="18"/>
                <w:szCs w:val="18"/>
                <w:lang w:eastAsia="pl-PL"/>
              </w:rPr>
              <w:t>kujawsko-pomorskie</w:t>
            </w:r>
          </w:p>
        </w:tc>
        <w:tc>
          <w:tcPr>
            <w:tcW w:w="155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209 750</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101,7</w:t>
            </w:r>
          </w:p>
        </w:tc>
        <w:tc>
          <w:tcPr>
            <w:tcW w:w="156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154 623</w:t>
            </w:r>
          </w:p>
        </w:tc>
        <w:tc>
          <w:tcPr>
            <w:tcW w:w="170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12,5</w:t>
            </w:r>
          </w:p>
        </w:tc>
      </w:tr>
    </w:tbl>
    <w:p>
      <w:pPr>
        <w:pStyle w:val="RdoTABEL"/>
        <w:rPr/>
      </w:pPr>
      <w:r>
        <w:rPr/>
        <w:t>Źródło: Opracowanie KPBPPiR o. Bydgoszcz na podstawie BDL GUS</w:t>
      </w:r>
    </w:p>
    <w:p>
      <w:pPr>
        <w:pStyle w:val="RdoTABEL"/>
        <w:rPr/>
      </w:pPr>
      <w:r>
        <w:rPr/>
      </w:r>
    </w:p>
    <w:p>
      <w:pPr>
        <w:pStyle w:val="Normal"/>
        <w:spacing w:lineRule="auto" w:line="276"/>
        <w:jc w:val="both"/>
        <w:rPr/>
      </w:pPr>
      <w:r>
        <w:rPr/>
        <w:t>Do najsilniej rozwiniętych branż w profilu gospodarczym MOF Włocławka zaliczają się sekcje: G (związana z handlem hurtowym i detalicznym) oraz F (związana z budownictwem) – co jest typowe również dla województwa kujawsko-pomorskiego i kraju. Według stanu na rok 2020 działało w nich kolejno 27,2% i 14,1% spośród wszystkich 17 647 podmiotów gospodarczych na całym obszarze. Biorąc jednak pod uwagę branże najbardziej charakterystyczne – tj. sekcje/działy wyróżniające się bardzo wysokim udziałem podmiotów gospodarczych w profilu gospodarczym MOF na tle województwa kujawsko-pomorskiego i kraju (posiadając co najmniej o 1/3 większy udział w stosunku do średniej dla województwa i kraju) lub sekcje/działy wyróżniające się wysoką koncentracją liczby podmiotów gospodarczych w MOF z obszaru całego województwa (skupiając co najmniej 10% z obszaru całego województwa), to w MOF Włocławka można wyróżnić ich kilkanaście (przedstawiono je w poniższej tabeli). Niektóre branże zostały wyróżnione, pomimo iż działa w nich zaledwie po kilka podmiotów. Wiąże się to jednak z ich specyfiką, gdyż są one rzadko lub bardzo rzadko reprezentowane</w:t>
        <w:br/>
        <w:t xml:space="preserve"> w województwie.</w:t>
      </w:r>
    </w:p>
    <w:p>
      <w:pPr>
        <w:pStyle w:val="TytuMAPiTABEL"/>
        <w:rPr/>
      </w:pPr>
      <w:r>
        <w:rPr/>
        <w:t>Tabela 4.  Branże charakterystyczne dla MOF (według danych na rok 2020)</w:t>
      </w:r>
    </w:p>
    <w:tbl>
      <w:tblPr>
        <w:tblStyle w:val="Tabela-Siatka1"/>
        <w:tblW w:w="4850" w:type="pct"/>
        <w:jc w:val="center"/>
        <w:tblInd w:w="0" w:type="dxa"/>
        <w:tblLayout w:type="fixed"/>
        <w:tblCellMar>
          <w:top w:w="0" w:type="dxa"/>
          <w:left w:w="70" w:type="dxa"/>
          <w:bottom w:w="0" w:type="dxa"/>
          <w:right w:w="70" w:type="dxa"/>
        </w:tblCellMar>
        <w:tblLook w:firstRow="0" w:noVBand="0" w:lastRow="0" w:firstColumn="0" w:lastColumn="0" w:noHBand="0" w:val="0000"/>
      </w:tblPr>
      <w:tblGrid>
        <w:gridCol w:w="4684"/>
        <w:gridCol w:w="2539"/>
        <w:gridCol w:w="912"/>
        <w:gridCol w:w="661"/>
      </w:tblGrid>
      <w:tr>
        <w:trPr>
          <w:trHeight w:val="480" w:hRule="atLeast"/>
        </w:trPr>
        <w:tc>
          <w:tcPr>
            <w:tcW w:w="4684" w:type="dxa"/>
            <w:tcBorders>
              <w:top w:val="nil"/>
              <w:left w:val="nil"/>
              <w:bottom w:val="nil"/>
              <w:right w:val="nil"/>
            </w:tcBorders>
          </w:tcPr>
          <w:p>
            <w:pPr>
              <w:pStyle w:val="Normal"/>
              <w:widowControl/>
              <w:spacing w:before="0" w:after="160"/>
              <w:jc w:val="center"/>
              <w:rPr>
                <w:rFonts w:cs="Calibri" w:cstheme="minorHAnsi"/>
                <w:b/>
                <w:color w:val="FFFFFF" w:themeColor="background1"/>
                <w:sz w:val="18"/>
                <w:szCs w:val="18"/>
              </w:rPr>
            </w:pPr>
            <w:r>
              <w:rPr>
                <w:kern w:val="0"/>
                <w:lang w:val="pl-PL" w:eastAsia="en-US" w:bidi="ar-SA"/>
              </w:rPr>
            </w:r>
          </w:p>
        </w:tc>
        <w:tc>
          <w:tcPr>
            <w:tcW w:w="2539" w:type="dxa"/>
            <w:tcBorders/>
            <w:shd w:color="auto" w:fill="10328F" w:val="clear"/>
            <w:vAlign w:val="center"/>
          </w:tcPr>
          <w:p>
            <w:pPr>
              <w:pStyle w:val="Normal"/>
              <w:widowControl/>
              <w:spacing w:before="0" w:after="160"/>
              <w:jc w:val="center"/>
              <w:rPr>
                <w:rFonts w:cs="Calibri" w:cstheme="minorHAnsi"/>
                <w:b/>
                <w:color w:val="FFFFFF" w:themeColor="background1"/>
                <w:sz w:val="18"/>
                <w:szCs w:val="18"/>
              </w:rPr>
            </w:pPr>
            <w:r>
              <w:rPr>
                <w:rFonts w:cs="Calibri" w:cstheme="minorHAnsi"/>
                <w:b/>
                <w:color w:val="FFFFFF" w:themeColor="background1"/>
                <w:kern w:val="0"/>
                <w:sz w:val="18"/>
                <w:szCs w:val="18"/>
                <w:lang w:val="pl-PL" w:eastAsia="en-US" w:bidi="ar-SA"/>
              </w:rPr>
              <w:t>MOF Włocławka (17 647 podmiotów ogółem)</w:t>
            </w:r>
          </w:p>
        </w:tc>
        <w:tc>
          <w:tcPr>
            <w:tcW w:w="912" w:type="dxa"/>
            <w:tcBorders/>
            <w:shd w:color="auto" w:fill="10328F" w:val="clear"/>
            <w:vAlign w:val="center"/>
          </w:tcPr>
          <w:p>
            <w:pPr>
              <w:pStyle w:val="Normal"/>
              <w:widowControl/>
              <w:spacing w:before="0" w:after="160"/>
              <w:jc w:val="center"/>
              <w:rPr>
                <w:rFonts w:cs="Calibri" w:cstheme="minorHAnsi"/>
                <w:color w:val="FFFFFF" w:themeColor="background1"/>
                <w:sz w:val="18"/>
                <w:szCs w:val="18"/>
              </w:rPr>
            </w:pPr>
            <w:r>
              <w:rPr>
                <w:rFonts w:cs="Calibri" w:cstheme="minorHAnsi"/>
                <w:color w:val="FFFFFF" w:themeColor="background1"/>
                <w:kern w:val="0"/>
                <w:sz w:val="18"/>
                <w:szCs w:val="18"/>
                <w:lang w:val="pl-PL" w:eastAsia="en-US" w:bidi="ar-SA"/>
              </w:rPr>
              <w:t>woj. kujawsko-pomorskie</w:t>
            </w:r>
          </w:p>
        </w:tc>
        <w:tc>
          <w:tcPr>
            <w:tcW w:w="661" w:type="dxa"/>
            <w:tcBorders/>
            <w:shd w:color="auto" w:fill="10328F" w:val="clear"/>
            <w:vAlign w:val="center"/>
          </w:tcPr>
          <w:p>
            <w:pPr>
              <w:pStyle w:val="Normal"/>
              <w:widowControl/>
              <w:spacing w:before="0" w:after="160"/>
              <w:jc w:val="center"/>
              <w:rPr>
                <w:rFonts w:cs="Calibri" w:cstheme="minorHAnsi"/>
                <w:color w:val="FFFFFF" w:themeColor="background1"/>
                <w:sz w:val="18"/>
                <w:szCs w:val="18"/>
              </w:rPr>
            </w:pPr>
            <w:r>
              <w:rPr>
                <w:rFonts w:cs="Calibri" w:cstheme="minorHAnsi"/>
                <w:color w:val="FFFFFF" w:themeColor="background1"/>
                <w:kern w:val="0"/>
                <w:sz w:val="18"/>
                <w:szCs w:val="18"/>
                <w:lang w:val="pl-PL" w:eastAsia="en-US" w:bidi="ar-SA"/>
              </w:rPr>
              <w:t>Polska</w:t>
            </w:r>
          </w:p>
        </w:tc>
      </w:tr>
      <w:tr>
        <w:trPr/>
        <w:tc>
          <w:tcPr>
            <w:tcW w:w="4684" w:type="dxa"/>
            <w:tcBorders/>
            <w:shd w:color="auto" w:fill="10328F" w:val="clear"/>
            <w:vAlign w:val="center"/>
          </w:tcPr>
          <w:p>
            <w:pPr>
              <w:pStyle w:val="Normal"/>
              <w:widowControl/>
              <w:spacing w:before="0" w:after="160"/>
              <w:jc w:val="left"/>
              <w:rPr>
                <w:rFonts w:cs="Calibri" w:cstheme="minorHAnsi"/>
                <w:b/>
                <w:color w:val="FFFFFF" w:themeColor="background1"/>
                <w:sz w:val="18"/>
                <w:szCs w:val="18"/>
              </w:rPr>
            </w:pPr>
            <w:r>
              <w:rPr>
                <w:rFonts w:cs="Calibri" w:cstheme="minorHAnsi"/>
                <w:b/>
                <w:color w:val="FFFFFF" w:themeColor="background1"/>
                <w:kern w:val="0"/>
                <w:sz w:val="18"/>
                <w:szCs w:val="18"/>
                <w:lang w:val="pl-PL" w:eastAsia="en-US" w:bidi="ar-SA"/>
              </w:rPr>
              <w:t>sekcja/dział</w:t>
            </w:r>
          </w:p>
        </w:tc>
        <w:tc>
          <w:tcPr>
            <w:tcW w:w="4112" w:type="dxa"/>
            <w:gridSpan w:val="3"/>
            <w:tcBorders/>
            <w:shd w:color="auto" w:fill="10328F" w:val="clear"/>
            <w:vAlign w:val="center"/>
          </w:tcPr>
          <w:p>
            <w:pPr>
              <w:pStyle w:val="Normal"/>
              <w:widowControl/>
              <w:spacing w:before="0" w:after="160"/>
              <w:jc w:val="center"/>
              <w:rPr>
                <w:rFonts w:cs="Calibri" w:cstheme="minorHAnsi"/>
                <w:b/>
                <w:color w:val="FFFFFF" w:themeColor="background1"/>
                <w:sz w:val="18"/>
                <w:szCs w:val="18"/>
              </w:rPr>
            </w:pPr>
            <w:r>
              <w:rPr>
                <w:rFonts w:cs="Calibri" w:cstheme="minorHAnsi"/>
                <w:b/>
                <w:color w:val="FFFFFF" w:themeColor="background1"/>
                <w:kern w:val="0"/>
                <w:sz w:val="18"/>
                <w:szCs w:val="18"/>
                <w:lang w:val="pl-PL" w:eastAsia="en-US" w:bidi="ar-SA"/>
              </w:rPr>
              <w:t>udział podmiotów w danej sekcji/dziale  w ogóle podmiotów</w:t>
            </w:r>
            <w:r>
              <w:rPr>
                <w:rStyle w:val="Zakotwiczenieprzypisudolnego"/>
                <w:rFonts w:cs="Calibri" w:cstheme="minorHAnsi"/>
                <w:b/>
                <w:color w:val="FFFFFF" w:themeColor="background1"/>
                <w:kern w:val="0"/>
                <w:sz w:val="18"/>
                <w:szCs w:val="18"/>
                <w:lang w:val="pl-PL" w:eastAsia="en-US" w:bidi="ar-SA"/>
              </w:rPr>
              <w:footnoteReference w:id="12"/>
            </w:r>
          </w:p>
        </w:tc>
      </w:tr>
      <w:tr>
        <w:trPr/>
        <w:tc>
          <w:tcPr>
            <w:tcW w:w="4684" w:type="dxa"/>
            <w:tcBorders/>
            <w:vAlign w:val="center"/>
          </w:tcPr>
          <w:p>
            <w:pPr>
              <w:pStyle w:val="Normal"/>
              <w:widowControl/>
              <w:spacing w:before="0" w:after="160"/>
              <w:jc w:val="left"/>
              <w:rPr>
                <w:rFonts w:cs="Calibri" w:cstheme="minorHAnsi"/>
                <w:b/>
                <w:sz w:val="18"/>
                <w:szCs w:val="18"/>
                <w:highlight w:val="yellow"/>
              </w:rPr>
            </w:pPr>
            <w:r>
              <w:rPr>
                <w:rFonts w:cs="Calibri" w:cstheme="minorHAnsi"/>
                <w:b/>
                <w:kern w:val="0"/>
                <w:sz w:val="18"/>
                <w:szCs w:val="18"/>
                <w:lang w:val="pl-PL" w:eastAsia="en-US" w:bidi="ar-SA"/>
              </w:rPr>
              <w:t>dział 23 w sekcji C – Produkcja wyrobów z pozostałych mineralnych surowców niemetalicznych</w:t>
            </w:r>
          </w:p>
        </w:tc>
        <w:tc>
          <w:tcPr>
            <w:tcW w:w="2539" w:type="dxa"/>
            <w:tcBorders/>
            <w:vAlign w:val="center"/>
          </w:tcPr>
          <w:p>
            <w:pPr>
              <w:pStyle w:val="Normal"/>
              <w:widowControl/>
              <w:spacing w:before="0" w:after="160"/>
              <w:jc w:val="center"/>
              <w:rPr>
                <w:rFonts w:cs="Calibri" w:cstheme="minorHAnsi"/>
                <w:b/>
                <w:sz w:val="18"/>
                <w:szCs w:val="18"/>
              </w:rPr>
            </w:pPr>
            <w:r>
              <w:rPr>
                <w:rFonts w:cs="Calibri" w:cstheme="minorHAnsi"/>
                <w:b/>
                <w:kern w:val="0"/>
                <w:sz w:val="18"/>
                <w:szCs w:val="18"/>
                <w:lang w:val="pl-PL" w:eastAsia="en-US" w:bidi="ar-SA"/>
              </w:rPr>
              <w:t>0,7%</w:t>
            </w:r>
          </w:p>
        </w:tc>
        <w:tc>
          <w:tcPr>
            <w:tcW w:w="912" w:type="dxa"/>
            <w:tcBorders/>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0,4%</w:t>
            </w:r>
          </w:p>
        </w:tc>
        <w:tc>
          <w:tcPr>
            <w:tcW w:w="661" w:type="dxa"/>
            <w:tcBorders/>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0,3%</w:t>
            </w:r>
          </w:p>
        </w:tc>
      </w:tr>
      <w:tr>
        <w:trPr>
          <w:trHeight w:val="370" w:hRule="atLeast"/>
        </w:trPr>
        <w:tc>
          <w:tcPr>
            <w:tcW w:w="4684" w:type="dxa"/>
            <w:tcBorders/>
            <w:vAlign w:val="center"/>
          </w:tcPr>
          <w:p>
            <w:pPr>
              <w:pStyle w:val="Normal"/>
              <w:widowControl/>
              <w:spacing w:before="0" w:after="160"/>
              <w:jc w:val="left"/>
              <w:rPr>
                <w:rFonts w:cs="Calibri" w:cstheme="minorHAnsi"/>
                <w:b/>
                <w:sz w:val="18"/>
                <w:szCs w:val="18"/>
                <w:highlight w:val="yellow"/>
              </w:rPr>
            </w:pPr>
            <w:r>
              <w:rPr>
                <w:rFonts w:cs="Calibri" w:cstheme="minorHAnsi"/>
                <w:b/>
                <w:kern w:val="0"/>
                <w:sz w:val="18"/>
                <w:szCs w:val="18"/>
                <w:lang w:val="pl-PL" w:eastAsia="en-US" w:bidi="ar-SA"/>
              </w:rPr>
              <w:t>dział 47 w sekcji G – Handel detaliczny, z wyłączeniem handlu detalicznego pojazdami samochodowymi</w:t>
            </w:r>
          </w:p>
        </w:tc>
        <w:tc>
          <w:tcPr>
            <w:tcW w:w="2539" w:type="dxa"/>
            <w:tcBorders/>
            <w:vAlign w:val="center"/>
          </w:tcPr>
          <w:p>
            <w:pPr>
              <w:pStyle w:val="Normal"/>
              <w:widowControl/>
              <w:spacing w:before="0" w:after="160"/>
              <w:jc w:val="center"/>
              <w:rPr>
                <w:rFonts w:cs="Calibri" w:cstheme="minorHAnsi"/>
                <w:b/>
                <w:sz w:val="18"/>
                <w:szCs w:val="18"/>
              </w:rPr>
            </w:pPr>
            <w:r>
              <w:rPr>
                <w:rFonts w:cs="Calibri" w:cstheme="minorHAnsi"/>
                <w:b/>
                <w:kern w:val="0"/>
                <w:sz w:val="18"/>
                <w:szCs w:val="18"/>
                <w:lang w:val="pl-PL" w:eastAsia="en-US" w:bidi="ar-SA"/>
              </w:rPr>
              <w:t>17,2%</w:t>
            </w:r>
          </w:p>
        </w:tc>
        <w:tc>
          <w:tcPr>
            <w:tcW w:w="912" w:type="dxa"/>
            <w:tcBorders/>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12,4%</w:t>
            </w:r>
          </w:p>
        </w:tc>
        <w:tc>
          <w:tcPr>
            <w:tcW w:w="661" w:type="dxa"/>
            <w:tcBorders/>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12,0%</w:t>
            </w:r>
          </w:p>
        </w:tc>
      </w:tr>
    </w:tbl>
    <w:p>
      <w:pPr>
        <w:pStyle w:val="Normal"/>
        <w:rPr>
          <w:rFonts w:ascii="Calibri" w:hAnsi="Calibri" w:cs="Calibri"/>
          <w:sz w:val="20"/>
          <w:szCs w:val="20"/>
        </w:rPr>
      </w:pPr>
      <w:r>
        <w:rPr>
          <w:rFonts w:cs="Calibri"/>
          <w:sz w:val="20"/>
          <w:szCs w:val="20"/>
        </w:rPr>
      </w:r>
    </w:p>
    <w:tbl>
      <w:tblPr>
        <w:tblStyle w:val="Tabela-Siatka1"/>
        <w:tblW w:w="48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4637"/>
        <w:gridCol w:w="4069"/>
      </w:tblGrid>
      <w:tr>
        <w:trPr/>
        <w:tc>
          <w:tcPr>
            <w:tcW w:w="4637" w:type="dxa"/>
            <w:tcBorders/>
            <w:shd w:color="auto" w:fill="10328F" w:val="clear"/>
            <w:vAlign w:val="center"/>
          </w:tcPr>
          <w:p>
            <w:pPr>
              <w:pStyle w:val="Normal"/>
              <w:widowControl/>
              <w:spacing w:before="0" w:after="160"/>
              <w:jc w:val="left"/>
              <w:rPr>
                <w:rFonts w:cs="Calibri" w:cstheme="minorHAnsi"/>
                <w:color w:val="FFFFFF" w:themeColor="background1"/>
                <w:sz w:val="18"/>
                <w:szCs w:val="18"/>
                <w:highlight w:val="yellow"/>
              </w:rPr>
            </w:pPr>
            <w:r>
              <w:rPr>
                <w:rFonts w:cs="Calibri" w:cstheme="minorHAnsi"/>
                <w:color w:val="FFFFFF" w:themeColor="background1"/>
                <w:kern w:val="0"/>
                <w:sz w:val="18"/>
                <w:szCs w:val="18"/>
                <w:lang w:val="pl-PL" w:eastAsia="en-US" w:bidi="ar-SA"/>
              </w:rPr>
              <w:t>sekcja/dział</w:t>
            </w:r>
          </w:p>
        </w:tc>
        <w:tc>
          <w:tcPr>
            <w:tcW w:w="4069" w:type="dxa"/>
            <w:tcBorders/>
            <w:shd w:color="auto" w:fill="10328F" w:val="clear"/>
            <w:vAlign w:val="center"/>
          </w:tcPr>
          <w:p>
            <w:pPr>
              <w:pStyle w:val="Normal"/>
              <w:widowControl/>
              <w:spacing w:before="0" w:after="160"/>
              <w:jc w:val="center"/>
              <w:rPr>
                <w:rFonts w:cs="Calibri" w:cstheme="minorHAnsi"/>
                <w:b/>
                <w:color w:val="FFFFFF" w:themeColor="background1"/>
                <w:sz w:val="18"/>
                <w:szCs w:val="18"/>
              </w:rPr>
            </w:pPr>
            <w:r>
              <w:rPr>
                <w:rFonts w:cs="Calibri" w:cstheme="minorHAnsi"/>
                <w:b/>
                <w:color w:val="FFFFFF" w:themeColor="background1"/>
                <w:kern w:val="0"/>
                <w:sz w:val="18"/>
                <w:szCs w:val="18"/>
                <w:lang w:val="pl-PL" w:eastAsia="en-US" w:bidi="ar-SA"/>
              </w:rPr>
              <w:t xml:space="preserve">poziom koncentracji podmiotów gospodarczych </w:t>
              <w:br/>
              <w:t>z obszaru województwa (kujawsko-pomorskie = 100%)</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sekcja G – Handel hurtowy i detaliczny; naprawa pojazdów samochodowych, włączając motocykle</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10,5%</w:t>
            </w:r>
            <w:r>
              <w:rPr>
                <w:rFonts w:cs="Calibri" w:cstheme="minorHAnsi"/>
                <w:kern w:val="0"/>
                <w:sz w:val="18"/>
                <w:szCs w:val="18"/>
                <w:lang w:val="pl-PL" w:eastAsia="en-US" w:bidi="ar-SA"/>
              </w:rPr>
              <w:t xml:space="preserve"> (4 803 podmioty na 45 817 w województwie)</w:t>
            </w:r>
          </w:p>
        </w:tc>
      </w:tr>
      <w:tr>
        <w:trPr/>
        <w:tc>
          <w:tcPr>
            <w:tcW w:w="4637" w:type="dxa"/>
            <w:tcBorders/>
            <w:vAlign w:val="center"/>
          </w:tcPr>
          <w:p>
            <w:pPr>
              <w:pStyle w:val="Normal"/>
              <w:widowControl/>
              <w:spacing w:before="0" w:after="160"/>
              <w:jc w:val="left"/>
              <w:rPr>
                <w:rFonts w:cs="Calibri" w:cstheme="minorHAnsi"/>
                <w:sz w:val="18"/>
                <w:szCs w:val="18"/>
              </w:rPr>
            </w:pPr>
            <w:r>
              <w:rPr>
                <w:rFonts w:cs="Calibri" w:cstheme="minorHAnsi"/>
                <w:kern w:val="0"/>
                <w:sz w:val="18"/>
                <w:szCs w:val="18"/>
                <w:lang w:val="pl-PL" w:eastAsia="en-US" w:bidi="ar-SA"/>
              </w:rPr>
              <w:t>dział 03 w sekcji A – Rybactwo</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18,2%</w:t>
            </w:r>
            <w:r>
              <w:rPr>
                <w:rFonts w:cs="Calibri" w:cstheme="minorHAnsi"/>
                <w:kern w:val="0"/>
                <w:sz w:val="18"/>
                <w:szCs w:val="18"/>
                <w:lang w:val="pl-PL" w:eastAsia="en-US" w:bidi="ar-SA"/>
              </w:rPr>
              <w:t xml:space="preserve"> (6 podmiotów na 33)</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dział 14 w sekcji C – Produkcja odzieży</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10,8%</w:t>
            </w:r>
            <w:r>
              <w:rPr>
                <w:rFonts w:cs="Calibri" w:cstheme="minorHAnsi"/>
                <w:kern w:val="0"/>
                <w:sz w:val="18"/>
                <w:szCs w:val="18"/>
                <w:lang w:val="pl-PL" w:eastAsia="en-US" w:bidi="ar-SA"/>
              </w:rPr>
              <w:t xml:space="preserve"> (108 podmiotów na 1 003)</w:t>
            </w:r>
          </w:p>
        </w:tc>
      </w:tr>
      <w:tr>
        <w:trPr/>
        <w:tc>
          <w:tcPr>
            <w:tcW w:w="4637" w:type="dxa"/>
            <w:tcBorders/>
            <w:vAlign w:val="center"/>
          </w:tcPr>
          <w:p>
            <w:pPr>
              <w:pStyle w:val="Normal"/>
              <w:widowControl/>
              <w:spacing w:before="0" w:after="160"/>
              <w:jc w:val="left"/>
              <w:rPr>
                <w:rFonts w:cs="Calibri" w:cstheme="minorHAnsi"/>
                <w:b/>
                <w:sz w:val="18"/>
                <w:szCs w:val="18"/>
                <w:highlight w:val="yellow"/>
              </w:rPr>
            </w:pPr>
            <w:r>
              <w:rPr>
                <w:rFonts w:cs="Calibri" w:cstheme="minorHAnsi"/>
                <w:b/>
                <w:kern w:val="0"/>
                <w:sz w:val="18"/>
                <w:szCs w:val="18"/>
                <w:lang w:val="pl-PL" w:eastAsia="en-US" w:bidi="ar-SA"/>
              </w:rPr>
              <w:t>dział 23 w sekcji C – Produkcja wyrobów z pozostałych mineralnych surowców niemetalicznych</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14,1%</w:t>
            </w:r>
            <w:r>
              <w:rPr>
                <w:rFonts w:cs="Calibri" w:cstheme="minorHAnsi"/>
                <w:kern w:val="0"/>
                <w:sz w:val="18"/>
                <w:szCs w:val="18"/>
                <w:lang w:val="pl-PL" w:eastAsia="en-US" w:bidi="ar-SA"/>
              </w:rPr>
              <w:t xml:space="preserve"> (118 podmiotów na 839)</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dział 26 w sekcji C –  Produkcja komputerów, wyrobów elektronicznych i optycznych</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10,7%</w:t>
            </w:r>
            <w:r>
              <w:rPr>
                <w:rFonts w:cs="Calibri" w:cstheme="minorHAnsi"/>
                <w:kern w:val="0"/>
                <w:sz w:val="18"/>
                <w:szCs w:val="18"/>
                <w:lang w:val="pl-PL" w:eastAsia="en-US" w:bidi="ar-SA"/>
              </w:rPr>
              <w:t xml:space="preserve"> (28 podmiotów na 261)</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dział 36 w sekcji E – Pobór, uzdatnianie i dostarczanie wody</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10,5%</w:t>
            </w:r>
            <w:r>
              <w:rPr>
                <w:rFonts w:cs="Calibri" w:cstheme="minorHAnsi"/>
                <w:kern w:val="0"/>
                <w:sz w:val="18"/>
                <w:szCs w:val="18"/>
                <w:lang w:val="pl-PL" w:eastAsia="en-US" w:bidi="ar-SA"/>
              </w:rPr>
              <w:t xml:space="preserve"> (9 podmiotów na 86)</w:t>
            </w:r>
          </w:p>
        </w:tc>
      </w:tr>
      <w:tr>
        <w:trPr/>
        <w:tc>
          <w:tcPr>
            <w:tcW w:w="4637" w:type="dxa"/>
            <w:tcBorders/>
            <w:vAlign w:val="center"/>
          </w:tcPr>
          <w:p>
            <w:pPr>
              <w:pStyle w:val="Normal"/>
              <w:widowControl/>
              <w:spacing w:before="0" w:after="160"/>
              <w:jc w:val="left"/>
              <w:rPr>
                <w:rFonts w:cs="Calibri" w:cstheme="minorHAnsi"/>
                <w:b/>
                <w:sz w:val="18"/>
                <w:szCs w:val="18"/>
                <w:highlight w:val="yellow"/>
              </w:rPr>
            </w:pPr>
            <w:r>
              <w:rPr>
                <w:rFonts w:cs="Calibri" w:cstheme="minorHAnsi"/>
                <w:b/>
                <w:kern w:val="0"/>
                <w:sz w:val="18"/>
                <w:szCs w:val="18"/>
                <w:lang w:val="pl-PL" w:eastAsia="en-US" w:bidi="ar-SA"/>
              </w:rPr>
              <w:t>dział 47 w sekcji G – Handel detaliczny, z wyłączeniem handlu detalicznego pojazdami samochodowymi</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11,6%</w:t>
            </w:r>
            <w:r>
              <w:rPr>
                <w:rFonts w:cs="Calibri" w:cstheme="minorHAnsi"/>
                <w:kern w:val="0"/>
                <w:sz w:val="18"/>
                <w:szCs w:val="18"/>
                <w:lang w:val="pl-PL" w:eastAsia="en-US" w:bidi="ar-SA"/>
              </w:rPr>
              <w:t xml:space="preserve"> (3 028 podmiotów na 26 053)</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dział 80 w sekcji N – Działalność detektywistyczna i ochroniarska</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13,5%</w:t>
            </w:r>
            <w:r>
              <w:rPr>
                <w:rFonts w:cs="Calibri" w:cstheme="minorHAnsi"/>
                <w:kern w:val="0"/>
                <w:sz w:val="18"/>
                <w:szCs w:val="18"/>
                <w:lang w:val="pl-PL" w:eastAsia="en-US" w:bidi="ar-SA"/>
              </w:rPr>
              <w:t xml:space="preserve"> (33 podmioty na 244)</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dział 87 w sekcji Q – Pomoc społeczna z zakwaterowaniem</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10,1%</w:t>
            </w:r>
            <w:r>
              <w:rPr>
                <w:rFonts w:cs="Calibri" w:cstheme="minorHAnsi"/>
                <w:kern w:val="0"/>
                <w:sz w:val="18"/>
                <w:szCs w:val="18"/>
                <w:lang w:val="pl-PL" w:eastAsia="en-US" w:bidi="ar-SA"/>
              </w:rPr>
              <w:t xml:space="preserve"> (20 podmiotów na 198)</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dział 92 w sekcji R – Działalność związana z grami losowymi i zakładami wzajemnymi</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17,9%</w:t>
            </w:r>
            <w:r>
              <w:rPr>
                <w:rFonts w:cs="Calibri" w:cstheme="minorHAnsi"/>
                <w:kern w:val="0"/>
                <w:sz w:val="18"/>
                <w:szCs w:val="18"/>
                <w:lang w:val="pl-PL" w:eastAsia="en-US" w:bidi="ar-SA"/>
              </w:rPr>
              <w:t xml:space="preserve"> (10 podmiotów na 56)</w:t>
            </w:r>
          </w:p>
        </w:tc>
      </w:tr>
      <w:tr>
        <w:trPr/>
        <w:tc>
          <w:tcPr>
            <w:tcW w:w="4637" w:type="dxa"/>
            <w:tcBorders/>
            <w:vAlign w:val="center"/>
          </w:tcPr>
          <w:p>
            <w:pPr>
              <w:pStyle w:val="Normal"/>
              <w:widowControl/>
              <w:spacing w:before="0" w:after="160"/>
              <w:jc w:val="left"/>
              <w:rPr>
                <w:rFonts w:cs="Calibri" w:cstheme="minorHAnsi"/>
                <w:sz w:val="18"/>
                <w:szCs w:val="18"/>
                <w:highlight w:val="yellow"/>
              </w:rPr>
            </w:pPr>
            <w:r>
              <w:rPr>
                <w:rFonts w:cs="Calibri" w:cstheme="minorHAnsi"/>
                <w:kern w:val="0"/>
                <w:sz w:val="18"/>
                <w:szCs w:val="18"/>
                <w:lang w:val="pl-PL" w:eastAsia="en-US" w:bidi="ar-SA"/>
              </w:rPr>
              <w:t>dział 93 w sekcji R – Działalność sportowa, rozrywkowa i rekreacyjna</w:t>
            </w:r>
          </w:p>
        </w:tc>
        <w:tc>
          <w:tcPr>
            <w:tcW w:w="4069" w:type="dxa"/>
            <w:tcBorders/>
          </w:tcPr>
          <w:p>
            <w:pPr>
              <w:pStyle w:val="Normal"/>
              <w:widowControl/>
              <w:spacing w:before="0" w:after="160"/>
              <w:jc w:val="left"/>
              <w:rPr>
                <w:rFonts w:cs="Calibri" w:cstheme="minorHAnsi"/>
                <w:sz w:val="18"/>
                <w:szCs w:val="18"/>
              </w:rPr>
            </w:pPr>
            <w:r>
              <w:rPr>
                <w:rFonts w:cs="Calibri" w:cstheme="minorHAnsi"/>
                <w:b/>
                <w:kern w:val="0"/>
                <w:sz w:val="18"/>
                <w:szCs w:val="18"/>
                <w:lang w:val="pl-PL" w:eastAsia="en-US" w:bidi="ar-SA"/>
              </w:rPr>
              <w:t>10,4%</w:t>
            </w:r>
            <w:r>
              <w:rPr>
                <w:rFonts w:cs="Calibri" w:cstheme="minorHAnsi"/>
                <w:kern w:val="0"/>
                <w:sz w:val="18"/>
                <w:szCs w:val="18"/>
                <w:lang w:val="pl-PL" w:eastAsia="en-US" w:bidi="ar-SA"/>
              </w:rPr>
              <w:t xml:space="preserve"> (282 podmioty na 2 714)</w:t>
            </w:r>
          </w:p>
        </w:tc>
      </w:tr>
    </w:tbl>
    <w:p>
      <w:pPr>
        <w:pStyle w:val="RdoTABEL"/>
        <w:rPr/>
      </w:pPr>
      <w:r>
        <w:rPr/>
        <w:t>Źródło: Opracowanie KPBPPiR o. Bydgoszcz na podstawie BDL GUS</w:t>
      </w:r>
    </w:p>
    <w:p>
      <w:pPr>
        <w:pStyle w:val="RdoTABEL"/>
        <w:rPr>
          <w:highlight w:val="yellow"/>
        </w:rPr>
      </w:pPr>
      <w:r>
        <w:rPr>
          <w:highlight w:val="yellow"/>
        </w:rPr>
      </w:r>
    </w:p>
    <w:p>
      <w:pPr>
        <w:pStyle w:val="Normal"/>
        <w:spacing w:lineRule="auto" w:line="276"/>
        <w:jc w:val="both"/>
        <w:rPr/>
      </w:pPr>
      <w:r>
        <w:rPr/>
        <w:t xml:space="preserve">W zakresie wsparcia i rozwoju przedsiębiorczości w formie parków przemysłowo-technologicznych </w:t>
        <w:br/>
        <w:t xml:space="preserve">na analizowanym MOF zlokalizowane są dwa miejsca oferujące wielkopowierzchniowe tereny inwestycyjne o znaczeniu ponadlokalnym - Włocławska Strefa Rozwoju Gospodarczego – Park Przemysłowo-Technologiczny w mieście rdzeniowym Włocławek oraz Brzeska Strefa Gospodarcza </w:t>
        <w:br/>
        <w:t xml:space="preserve">w gminie Brześć Kujawski, które stanowią istotny potencjał rozwojowy obszaru. Ponadto MOF Włocławka, podobnie jak całe województwo kujawsko-pomorskie, znajduje się w obszarze działania Pomorskiej Specjalnej Strefy Ekonomicznej. Dużym potencjałem dla rozwoju przestrzeni inwestycyjnych cechują się, poza Włocławkiem i gminą Brześć Kujawski, gminy Choceń, gmina wiejska Kowal, gmina Lubień Kujawski i Lubraniec – w których już obecnie powstają tego typu obszary. Poza dużymi terenami inwestycyjnymi dla wspierania rozwoju przedsiębiorczości - przyciągania nowych inwestorów, a także tworzenia możliwości rozwoju dla obecnie funkcjonujących podmiotów, które mogłyby rozwijać swoją działalność - istotnym jest także tworzenie na danym obszarze terenów inwestycyjnych o charakterze lokalnym. Na obszarze MOF cały czas identyfikuje się brak wystarczającej powierzchni przygotowanych i uzbrojonych obszarów inwestycyjnych, które stanowić mogą istotny bodziec dla rozwoju potencjałów endogenicznych. </w:t>
      </w:r>
    </w:p>
    <w:p>
      <w:pPr>
        <w:pStyle w:val="Normal"/>
        <w:spacing w:lineRule="auto" w:line="276"/>
        <w:jc w:val="both"/>
        <w:rPr/>
      </w:pPr>
      <w:r>
        <w:rPr/>
        <w:t>Na obszarze MOF poza parkami przemysłowo-technologicznymi działają też instytucje świadczące kompleksowe usługi wsparcia dla przedsiębiorców (doradcze, szkoleniowe i konsultacyjne), a także pełniące funkcję inkubatorów przedsiębiorczości</w:t>
      </w:r>
      <w:r>
        <w:rPr>
          <w:rStyle w:val="Zakotwiczenieprzypisudolnego"/>
        </w:rPr>
        <w:footnoteReference w:id="13"/>
      </w:r>
      <w:r>
        <w:rPr/>
        <w:t xml:space="preserve">. Najlepsza dostępność do tego typu usług </w:t>
        <w:br/>
        <w:t>na analizowanym MOF występuje w mieście Włocławek – znajdują się tam 3 podmioty świadczące usługi dla biznesu - Włocławski Inkubator Innowacji i Przedsiębiorczości/Włocławskie Centrum Biznesu Inkubator Przedsiębiorczości, COI - Centrum Obsługi Inwestora we Włocławku i Kujawska Izba Przemysłowo Handlowa we Włocławku, natomiast poza miastem Włocławek znajduje się Prosument – Klaster Odnawialnych Źródeł Energii w Lubrańcu. Wsparcie lokalnym przedsiębiorcom udzielać może również Lokalna Grupa Działania Miasto Włocławek (na obszarze miasta Włocławek) oraz Stowarzyszenie Lokalna Grupa Działania Dorzecza Zgłowiączki (poza m. Włocławek). W ostatnich latach nastąpił znaczny rozwój usług otoczenia biznesu na obszarze MOF, jednak ze względu na duże zainteresowanie identyfikuje się stałą potrzebę wzmacniania i rozwijania potencjału podmiotów świadczących usługi dla biznesu w celu lepszego dopasowania oferty oraz świadczenia w pełni kompleksowego wsparcia proinnowacyjnych usług dla biznesu, w tym wynajmu powierzchni biurowej i produkcyjno-magazynowej, na którą występuje duże zapotrzebowanie zwłaszcza w mieście Włocławek.</w:t>
      </w:r>
    </w:p>
    <w:p>
      <w:pPr>
        <w:pStyle w:val="Normal"/>
        <w:spacing w:lineRule="auto" w:line="276"/>
        <w:jc w:val="both"/>
        <w:rPr/>
      </w:pPr>
      <w:r>
        <w:rPr/>
        <w:t>Rozwojowi przedsiębiorczości sprzyjają także działania ukierunkowane na poprawę jakości kształcenia zawodowego oraz rozwój kompetencji kluczowych u uczniów, wzmacniający ich przyszłą aktywność zawodową.</w:t>
      </w:r>
    </w:p>
    <w:p>
      <w:pPr>
        <w:pStyle w:val="Normal"/>
        <w:spacing w:lineRule="auto" w:line="276"/>
        <w:jc w:val="both"/>
        <w:rPr/>
      </w:pPr>
      <w:r>
        <w:rPr/>
        <w:t xml:space="preserve">MOF Włocławka odznacza się silną funkcją rolniczą (powiat włocławski zajmuje wysokie pozycje </w:t>
        <w:br/>
        <w:t>w kraju pod względem areału użytków rolnych i produkcji rolniczej). Na terenie powiatu włocławskiego funkcjonuje 6,1 tys. gospodarstw rolnych (a więc aż 10% gospodarstw z województwa kujawsko-pomorskiego), jednak są to pod względem areału gospodarstwa przeciętnie o 1/5 mniejsze, niż średnio w regionie. Jest to pochodna funkcjonowania dużej liczby gospodarstw małych, o powierzchni poniżej 5 ha, które stanowią prawie 1/3 ogółu gospodarstw rolnych</w:t>
      </w:r>
      <w:r>
        <w:rPr>
          <w:rStyle w:val="Zakotwiczenieprzypisudolnego"/>
        </w:rPr>
        <w:footnoteReference w:id="14"/>
      </w:r>
      <w:r>
        <w:rPr/>
        <w:t xml:space="preserve">. Oznacza to, że oprócz gospodarstw nastawionych na intensywną, wysokotowarową produkcję rolniczą, na terenie obszaru funkcjonują gospodarstwa mniejsze, produkujące żywność w sposób mniej intensywny, zwłaszcza na potrzeby lokalnego rynku zbytu. Dla gospodarstw tych bardzo ważne jest skracanie łańcucha dostaw żywności między jej producentami a odbiorcami, co oprócz aspektów finansowych (zmniejszenie liczby pośredników skupu żywności) ma duże znaczenie ekologiczne (zmniejszenie odległości przewozu żywności) i społeczne, gdyż pozwala zaopatrzyć mieszkańców obszaru w świeże produkty spożywcze wysokiej jakości pochodzące od lokalnych dostawców. </w:t>
      </w:r>
    </w:p>
    <w:p>
      <w:pPr>
        <w:pStyle w:val="Normal"/>
        <w:spacing w:lineRule="auto" w:line="276"/>
        <w:jc w:val="both"/>
        <w:rPr/>
      </w:pPr>
      <w:r>
        <w:rPr/>
      </w:r>
    </w:p>
    <w:p>
      <w:pPr>
        <w:pStyle w:val="2poziom"/>
        <w:numPr>
          <w:ilvl w:val="0"/>
          <w:numId w:val="0"/>
        </w:numPr>
        <w:ind w:left="851" w:hanging="567"/>
        <w:rPr/>
      </w:pPr>
      <w:bookmarkStart w:id="71" w:name="_Toc143161898"/>
      <w:r>
        <w:rPr/>
        <w:t>2.7. Bezrobocie rejestrowane</w:t>
      </w:r>
      <w:r>
        <w:rPr>
          <w:rStyle w:val="Zakotwiczenieprzypisudolnego"/>
        </w:rPr>
        <w:footnoteReference w:id="15"/>
      </w:r>
      <w:bookmarkEnd w:id="71"/>
    </w:p>
    <w:p>
      <w:pPr>
        <w:pStyle w:val="Normal"/>
        <w:spacing w:lineRule="auto" w:line="276"/>
        <w:jc w:val="both"/>
        <w:rPr/>
      </w:pPr>
      <w:r>
        <w:rPr/>
        <w:t xml:space="preserve">W 2021 r. na terenie MOF Włocławka były 8 102 zarejestrowane osoby bezrobotne (z czego 46,7% </w:t>
        <w:br/>
        <w:t>w gminie miejskiej Włocławek). Poziom bezrobocia na analizowanym obszarze utrzymuje się powyżej średniej dla regionu - w 2021 r. udział zarejestrowanych osób bezrobotnych w liczbie ludności w wieku produkcyjnym dla tego obszaru wynosił 7,1% wobec 5,1% dla województwa.</w:t>
      </w:r>
    </w:p>
    <w:p>
      <w:pPr>
        <w:pStyle w:val="Normal"/>
        <w:spacing w:lineRule="auto" w:line="276"/>
        <w:jc w:val="both"/>
        <w:rPr/>
      </w:pPr>
      <w:r>
        <w:rPr/>
        <w:t>W strukturze zarejestrowanych osób bezrobotnych na analizowanym MOF występuje szereg grup wymagających szczególnego wsparcia na rynku pracy. Udział bezrobotnych kobiet w liczbie kobiet</w:t>
        <w:br/>
        <w:t xml:space="preserve"> w wieku produkcyjnym w 2021 r. dla MOF kształtował się na poziomie wyższym niż wartość dla województwa – wynosił 8,9% w porównaniu z 6,4% dla regionu. W grupie osób bezrobotnych 1 721 osób stanowiły kobiety, które nie podjęły zatrudnienia po urodzeniu dziecka, co obejmowało 21,2% wszystkich bezrobotnych oraz 36,5% bezrobotnych kobiet. Natomiast wskaźnik udziału kobiet, które nie podjęły pracy po urodzeniu dziecka w liczbie kobiet w wieku produkcyjnym przyjmował wartość powyżej średniej dla regionu – 3,2%, wobec 2,3% dla województwa. Udział osób długotrwale bezrobotnych</w:t>
      </w:r>
      <w:r>
        <w:rPr>
          <w:rStyle w:val="Zakotwiczenieprzypisudolnego"/>
        </w:rPr>
        <w:footnoteReference w:id="16"/>
      </w:r>
      <w:r>
        <w:rPr/>
        <w:t xml:space="preserve"> w liczbie ludności w wieku produkcyjnym dla analizowanego MOF był stosunkowo wysoki i wynosił 3,3% (dla województwa 2,6%), natomiast osoby długotrwale bezrobotne w całkowitej liczbie osób bezrobotnych na MOF stanowili aż 62,3% (5 051 osób). Wśród zarejestrowanych osób bezrobotnych przeważały osoby z wykształceniem gimnazjalnym i niższym (35,2% wszystkich osób bezrobotnych) oraz zasadniczym zawodowym/branżowym I stopnia (26,4%). Dodatkowo osoby bez kwalifikacji zawodowych stanowiły aż 41,3% wszystkich osób bezrobotnych (3 348 osób), a udział tej grupy w liczbie ludności w wieku produkcyjnym był wyższy od średniej dla regionu – 2,9% wobec 1,9% dla województwa. Do grupy osób w szczególnej sytuacji na rynku pracy należą także osoby bezrobotne do 25. roku życia – w 2021 r. ta grupa bezrobotnych na MOF obejmowała stosunkowo nieduży udział - 7,9% wszystkich osób bezrobotnych (641 osób), a udział tej grupy w ogóle mieszkańców obszaru </w:t>
        <w:br/>
        <w:t>w wieku 18-24 lata był zbliżony do średniej dla regionu i wynosił 4,6%, wobec 4,7% dla województwa. Drugą istotną grupę wiekową stanowią osoby bezrobotne powyżej 50. roku życia, które w 2021r. stanowiły 29,9% wszystkich zarejestrowanych osób bezrobotnych (2 425 osób), a ich udział w liczbie wszystkich mieszkańców MOF w tej grupie wiekowej</w:t>
      </w:r>
      <w:r>
        <w:rPr>
          <w:rStyle w:val="Zakotwiczenieprzypisudolnego"/>
        </w:rPr>
        <w:footnoteReference w:id="17"/>
      </w:r>
      <w:r>
        <w:rPr/>
        <w:t xml:space="preserve"> był stosunkowo wysoki i wynosił 7,7% </w:t>
        <w:br/>
        <w:t>(dla województwa 4,9%).</w:t>
      </w:r>
    </w:p>
    <w:p>
      <w:pPr>
        <w:pStyle w:val="Normal"/>
        <w:spacing w:lineRule="auto" w:line="276"/>
        <w:jc w:val="both"/>
        <w:rPr/>
      </w:pPr>
      <w:r>
        <w:rPr/>
        <w:t xml:space="preserve">Na poziomie gmin udział osób bezrobotnych w liczbie osób w wieku produkcyjnym w żadnej </w:t>
        <w:br/>
        <w:t xml:space="preserve">z jednostek wchodzących w skład analizowanego obszaru nie przyjmował wartości niższych niż wartość średnia dla całego województwa (w 2021 r. 5,1%) i w większości gmin kształtował się na bardzo wysokim poziomie. W 3 gminach wartość tego wskaźnika przekraczała aż 10,0% (10,2% Lubraniec, 10,8% Izbica Kujawska, 13,9% Boniewo) – były to jedne z najwyższych wartości w całym regionie. Wysokie wartości (powyżej 8,0%) utrzymywały się również w gminach Choceń (8,7%), Chodecz (9,0%) i Lubień Kujawski (9,5%). Najniższa notowana wartość w 2021 r. występowała w gminie Fabianki – 5,2%. Miasto Włocławek również cechowało się wartością tego wskaźnika powyżej średniej </w:t>
        <w:br/>
        <w:t>dla województwa, w 2021 r. wynoszącą 6,1%.</w:t>
      </w:r>
    </w:p>
    <w:p>
      <w:pPr>
        <w:pStyle w:val="TytuMAPiTABEL"/>
        <w:rPr>
          <w:lang w:eastAsia="pl-PL"/>
        </w:rPr>
      </w:pPr>
      <w:r>
        <w:rPr/>
        <w:t xml:space="preserve">Tabela 5.  </w:t>
      </w:r>
      <w:r>
        <w:rPr>
          <w:lang w:eastAsia="pl-PL"/>
        </w:rPr>
        <w:t>Bezrobocie rejestrowane na terenie MOF Włocławka w 2010 r. i 2021 r.</w:t>
      </w:r>
    </w:p>
    <w:tbl>
      <w:tblPr>
        <w:tblW w:w="9057"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11"/>
        <w:gridCol w:w="1558"/>
        <w:gridCol w:w="710"/>
        <w:gridCol w:w="708"/>
        <w:gridCol w:w="708"/>
        <w:gridCol w:w="709"/>
        <w:gridCol w:w="709"/>
        <w:gridCol w:w="709"/>
        <w:gridCol w:w="709"/>
        <w:gridCol w:w="708"/>
        <w:gridCol w:w="709"/>
        <w:gridCol w:w="708"/>
      </w:tblGrid>
      <w:tr>
        <w:trPr>
          <w:trHeight w:val="299" w:hRule="atLeast"/>
        </w:trPr>
        <w:tc>
          <w:tcPr>
            <w:tcW w:w="1969"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2835"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Liczba zarejestrowanych osób bezrobotnych (osoby)</w:t>
            </w:r>
          </w:p>
        </w:tc>
        <w:tc>
          <w:tcPr>
            <w:tcW w:w="4252" w:type="dxa"/>
            <w:gridSpan w:val="6"/>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Udział zarejestrowanych osób bezrobotnych w liczbie osób w wieku produkcyjnym (%)</w:t>
            </w:r>
          </w:p>
        </w:tc>
      </w:tr>
      <w:tr>
        <w:trPr>
          <w:trHeight w:val="299" w:hRule="atLeast"/>
        </w:trPr>
        <w:tc>
          <w:tcPr>
            <w:tcW w:w="1969"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1418"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mężczyźni</w:t>
            </w:r>
          </w:p>
        </w:tc>
        <w:tc>
          <w:tcPr>
            <w:tcW w:w="1417"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kobiety</w:t>
            </w:r>
          </w:p>
        </w:tc>
        <w:tc>
          <w:tcPr>
            <w:tcW w:w="1418"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ogółem</w:t>
            </w:r>
          </w:p>
        </w:tc>
        <w:tc>
          <w:tcPr>
            <w:tcW w:w="1417"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mężczyźni</w:t>
            </w:r>
          </w:p>
        </w:tc>
        <w:tc>
          <w:tcPr>
            <w:tcW w:w="1417"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kobiety</w:t>
            </w:r>
          </w:p>
        </w:tc>
      </w:tr>
      <w:tr>
        <w:trPr>
          <w:trHeight w:val="299" w:hRule="atLeast"/>
        </w:trPr>
        <w:tc>
          <w:tcPr>
            <w:tcW w:w="1969"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tcPr>
          <w:p>
            <w:pPr>
              <w:pStyle w:val="Normal"/>
              <w:widowControl w:val="false"/>
              <w:spacing w:lineRule="auto" w:line="240" w:before="40" w:after="40"/>
              <w:jc w:val="center"/>
              <w:rPr>
                <w:rFonts w:eastAsia="Times New Roman" w:cs="Calibri" w:cstheme="minorHAnsi"/>
                <w:b/>
                <w:color w:val="FFFFFF" w:themeColor="background1"/>
                <w:sz w:val="18"/>
                <w:szCs w:val="18"/>
                <w:highlight w:val="darkGray"/>
                <w:lang w:eastAsia="pl-PL"/>
              </w:rPr>
            </w:pPr>
            <w:r>
              <w:rPr>
                <w:rFonts w:eastAsia="Times New Roman" w:cs="Calibri" w:cstheme="minorHAnsi"/>
                <w:b/>
                <w:color w:val="FFFFFF" w:themeColor="background1"/>
                <w:sz w:val="18"/>
                <w:szCs w:val="18"/>
                <w:highlight w:val="darkGray"/>
                <w:lang w:eastAsia="pl-PL"/>
              </w:rPr>
            </w:r>
          </w:p>
        </w:tc>
        <w:tc>
          <w:tcPr>
            <w:tcW w:w="71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708"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708"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70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70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70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70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708"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709"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708"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r>
      <w:tr>
        <w:trPr>
          <w:trHeight w:val="299" w:hRule="atLeast"/>
        </w:trPr>
        <w:tc>
          <w:tcPr>
            <w:tcW w:w="1969" w:type="dxa"/>
            <w:gridSpan w:val="2"/>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cs="Calibri" w:cstheme="minorHAnsi"/>
                <w:b/>
                <w:bCs/>
                <w:sz w:val="18"/>
                <w:szCs w:val="18"/>
              </w:rPr>
            </w:pPr>
            <w:r>
              <w:rPr>
                <w:rFonts w:cs="Calibri" w:cstheme="minorHAnsi"/>
                <w:b/>
                <w:bCs/>
                <w:sz w:val="18"/>
                <w:szCs w:val="18"/>
              </w:rPr>
              <w:t>MOF Włocławka</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8 838</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3 392</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9 841</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4 710</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14,1</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7,1</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12,7</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15,7</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8,9</w:t>
            </w:r>
          </w:p>
        </w:tc>
      </w:tr>
      <w:tr>
        <w:trPr>
          <w:trHeight w:val="299" w:hRule="atLeast"/>
        </w:trPr>
        <w:tc>
          <w:tcPr>
            <w:tcW w:w="411"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vAlign w:val="center"/>
          </w:tcPr>
          <w:p>
            <w:pPr>
              <w:pStyle w:val="Normal"/>
              <w:widowControl w:val="false"/>
              <w:spacing w:lineRule="auto" w:line="240" w:before="0" w:after="0"/>
              <w:ind w:left="113" w:right="113" w:hanging="0"/>
              <w:jc w:val="center"/>
              <w:rPr>
                <w:rFonts w:cs="Calibri" w:cstheme="minorHAnsi"/>
                <w:b/>
                <w:bCs/>
                <w:sz w:val="18"/>
                <w:szCs w:val="18"/>
              </w:rPr>
            </w:pPr>
            <w:r>
              <w:rPr>
                <w:rFonts w:cs="Calibri" w:cstheme="minorHAnsi"/>
                <w:b/>
                <w:bCs/>
                <w:sz w:val="18"/>
                <w:szCs w:val="18"/>
              </w:rPr>
              <w:t>Gminy</w:t>
            </w:r>
          </w:p>
        </w:tc>
        <w:tc>
          <w:tcPr>
            <w:tcW w:w="155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Baruchowo</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175</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53</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163</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105</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7,6</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14,4</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4,6</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16,0</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11,3</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Boniewo</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189</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128</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203</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153</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17,9</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13,9</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15,5</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11,5</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20,8</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16,8</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rPr>
                <w:rFonts w:cs="Calibri" w:cstheme="minorHAnsi"/>
                <w:b/>
                <w:bCs/>
                <w:sz w:val="18"/>
                <w:szCs w:val="18"/>
              </w:rPr>
            </w:pPr>
            <w:r>
              <w:rPr>
                <w:rFonts w:cs="Calibri" w:cstheme="minorHAnsi"/>
                <w:b/>
                <w:bCs/>
                <w:sz w:val="18"/>
                <w:szCs w:val="18"/>
              </w:rPr>
              <w:t>Brześć Kujawski</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519</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211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598</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312</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7,5</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5,6</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17,3</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9,7</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Choceń</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415</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163</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452</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254</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16,8</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8,7</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14,7</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6,3</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19,2</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11,4</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Chodecz</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292</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133</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356</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188</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9,0</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13,3</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6,9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19,0</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11,5</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Fabianki</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415</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127</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456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212</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13,9</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5,2</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12,5</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3,6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15,5</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7,1</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Izbica Kujawska</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347</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220</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384</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279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14,7</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10,8</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12,9</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8,9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16,9</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12,9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Kowal (miejska)</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210</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76</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155</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82</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7,3</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16,5</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6,5</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14,4</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8,4</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Kowal (wiejska)</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155</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58</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147</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85</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12,0</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6,0</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11,2</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4,3</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13,1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8,0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Lubanie</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191</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61</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211</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114</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13,5</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6,3</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11,8</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4,0</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15,4</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9,0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Lubień Kujawski</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376</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189</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344</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225</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15,0</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9,5</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14,2</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7,9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16,1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11,5</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Lubraniec</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472</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252</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535</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308</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16,1</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10,2</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14,0</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8,5</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18,6</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12,3</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rPr>
                <w:rFonts w:cs="Calibri" w:cstheme="minorHAnsi"/>
                <w:b/>
                <w:bCs/>
                <w:sz w:val="18"/>
                <w:szCs w:val="18"/>
              </w:rPr>
            </w:pPr>
            <w:r>
              <w:rPr>
                <w:rFonts w:cs="Calibri" w:cstheme="minorHAnsi"/>
                <w:b/>
                <w:bCs/>
                <w:sz w:val="18"/>
                <w:szCs w:val="18"/>
              </w:rPr>
              <w:t>Włocławek (miejska)</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4765</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1600</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5461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2 187</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13,3</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6,1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12,1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4,9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14,7</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7,5</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right"/>
              <w:rPr>
                <w:rFonts w:cs="Calibri" w:cstheme="minorHAnsi"/>
                <w:b/>
                <w:bCs/>
                <w:sz w:val="18"/>
                <w:szCs w:val="18"/>
              </w:rPr>
            </w:pPr>
            <w:r>
              <w:rPr>
                <w:rFonts w:cs="Calibri" w:cstheme="minorHAnsi"/>
                <w:b/>
                <w:bCs/>
                <w:sz w:val="18"/>
                <w:szCs w:val="18"/>
              </w:rPr>
            </w:r>
          </w:p>
        </w:tc>
        <w:tc>
          <w:tcPr>
            <w:tcW w:w="155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rPr>
                <w:rFonts w:eastAsia="Times New Roman" w:cs="Calibri" w:cstheme="minorHAnsi"/>
                <w:b/>
                <w:bCs/>
                <w:sz w:val="18"/>
                <w:szCs w:val="18"/>
                <w:lang w:eastAsia="pl-PL"/>
              </w:rPr>
            </w:pPr>
            <w:r>
              <w:rPr>
                <w:rFonts w:cs="Calibri" w:cstheme="minorHAnsi"/>
                <w:b/>
                <w:bCs/>
                <w:sz w:val="18"/>
                <w:szCs w:val="18"/>
              </w:rPr>
              <w:t>Włocławek (wiejska)</w:t>
            </w:r>
          </w:p>
        </w:tc>
        <w:tc>
          <w:tcPr>
            <w:tcW w:w="71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317</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121</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376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206</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15,4</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7,1</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color w:val="000000"/>
                <w:sz w:val="18"/>
                <w:szCs w:val="18"/>
              </w:rPr>
              <w:t>13,1</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4,8</w:t>
            </w:r>
          </w:p>
        </w:tc>
        <w:tc>
          <w:tcPr>
            <w:tcW w:w="709"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17,9</w:t>
            </w:r>
          </w:p>
        </w:tc>
        <w:tc>
          <w:tcPr>
            <w:tcW w:w="708"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color w:val="000000"/>
                <w:sz w:val="18"/>
                <w:szCs w:val="18"/>
                <w:lang w:eastAsia="pl-PL"/>
              </w:rPr>
            </w:pPr>
            <w:r>
              <w:rPr>
                <w:rFonts w:cs="Calibri" w:cstheme="minorHAnsi"/>
                <w:color w:val="000000"/>
                <w:sz w:val="18"/>
                <w:szCs w:val="18"/>
              </w:rPr>
              <w:t>9,6</w:t>
            </w:r>
          </w:p>
        </w:tc>
      </w:tr>
      <w:tr>
        <w:trPr>
          <w:trHeight w:val="299" w:hRule="atLeast"/>
        </w:trPr>
        <w:tc>
          <w:tcPr>
            <w:tcW w:w="1969"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Województwo</w:t>
            </w:r>
          </w:p>
          <w:p>
            <w:pPr>
              <w:pStyle w:val="Normal"/>
              <w:widowControl w:val="false"/>
              <w:spacing w:lineRule="auto" w:line="240" w:before="40" w:after="40"/>
              <w:rPr>
                <w:rFonts w:cs="Calibri" w:cstheme="minorHAnsi"/>
                <w:b/>
                <w:bCs/>
                <w:sz w:val="18"/>
                <w:szCs w:val="18"/>
              </w:rPr>
            </w:pPr>
            <w:r>
              <w:rPr>
                <w:rFonts w:eastAsia="Times New Roman" w:cs="Calibri" w:cstheme="minorHAnsi"/>
                <w:b/>
                <w:bCs/>
                <w:sz w:val="18"/>
                <w:szCs w:val="18"/>
                <w:lang w:eastAsia="pl-PL"/>
              </w:rPr>
              <w:t>kujawsko-pomorskie</w:t>
            </w:r>
          </w:p>
        </w:tc>
        <w:tc>
          <w:tcPr>
            <w:tcW w:w="71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61 861</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color w:val="000000"/>
                <w:sz w:val="18"/>
                <w:szCs w:val="18"/>
              </w:rPr>
              <w:t>25 273</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75 696</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36 588</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10,3</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color w:val="000000"/>
                <w:sz w:val="18"/>
                <w:szCs w:val="18"/>
              </w:rPr>
              <w:t>5,1</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9,0</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color w:val="000000"/>
                <w:sz w:val="18"/>
                <w:szCs w:val="18"/>
              </w:rPr>
              <w:t>3,9</w:t>
            </w:r>
          </w:p>
        </w:tc>
        <w:tc>
          <w:tcPr>
            <w:tcW w:w="709"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11,7</w:t>
            </w:r>
          </w:p>
        </w:tc>
        <w:tc>
          <w:tcPr>
            <w:tcW w:w="708"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6,4</w:t>
            </w:r>
          </w:p>
        </w:tc>
      </w:tr>
    </w:tbl>
    <w:p>
      <w:pPr>
        <w:pStyle w:val="Normal"/>
        <w:spacing w:lineRule="auto" w:line="240" w:before="60" w:after="160"/>
        <w:rPr>
          <w:rFonts w:cs="Calibri" w:cstheme="minorHAnsi"/>
          <w:iCs/>
          <w:sz w:val="20"/>
          <w:szCs w:val="20"/>
        </w:rPr>
      </w:pPr>
      <w:r>
        <w:rPr>
          <w:sz w:val="20"/>
          <w:szCs w:val="20"/>
        </w:rPr>
        <w:t xml:space="preserve">Źródło: </w:t>
      </w:r>
      <w:r>
        <w:rPr>
          <w:rFonts w:cs="Calibri" w:cstheme="minorHAnsi"/>
          <w:iCs/>
          <w:sz w:val="20"/>
          <w:szCs w:val="20"/>
        </w:rPr>
        <w:t>Opracowanie KPBPPiR o. Bydgoszcz na podstawie BDL GUS</w:t>
      </w:r>
    </w:p>
    <w:p>
      <w:pPr>
        <w:pStyle w:val="Normal"/>
        <w:rPr/>
      </w:pPr>
      <w:r>
        <w:rPr/>
      </w:r>
    </w:p>
    <w:p>
      <w:pPr>
        <w:pStyle w:val="2poziom"/>
        <w:numPr>
          <w:ilvl w:val="0"/>
          <w:numId w:val="0"/>
        </w:numPr>
        <w:ind w:left="851" w:hanging="567"/>
        <w:rPr/>
      </w:pPr>
      <w:bookmarkStart w:id="72" w:name="_Toc143161899"/>
      <w:r>
        <w:rPr/>
        <w:t>2.8. Pomoc społeczna i świadczenia na rzecz rodziny</w:t>
      </w:r>
      <w:bookmarkEnd w:id="72"/>
    </w:p>
    <w:p>
      <w:pPr>
        <w:pStyle w:val="Normal"/>
        <w:spacing w:lineRule="auto" w:line="276"/>
        <w:jc w:val="both"/>
        <w:rPr/>
      </w:pPr>
      <w:r>
        <w:rPr/>
        <w:t xml:space="preserve">W 2020 r. na terenie MOF Włocławka ze środowiskowej pomocy społecznej korzystało 14 753 mieszkańców, zatem prawie dwukrotnie mniej niż w 2010 r. Spadek korzystających z pomocy społecznej w MOF był mniejszy niż przeciętnie w regionie: 48,0% w MOF wobec 49,1% </w:t>
        <w:br/>
        <w:t>w województwie). Zasięg korzystania z pomocy społecznej kształtował się na wyższym poziomie niż przeciętnie w województwie. W 2020 r. udział beneficjentów w ogólnej liczbie ludności wyniósł 7,6% (dla województwa 6,0%). Biorąc pod uwagę rozkład przestrzenny wskaźnika w analizowanym MOF zauważa się, że najwyższym odsetkiem korzystających z pomocy społecznej charakteryzują się gminy Lubień Kujawski (11,1%) oraz Chodecz (10,8%). Najniższe wartości wskaźnika zanotowano w gminie Lubanie (4,3%) i gminie miejskiej Kowal (4,7%).</w:t>
      </w:r>
    </w:p>
    <w:p>
      <w:pPr>
        <w:pStyle w:val="Normal"/>
        <w:spacing w:lineRule="auto" w:line="276"/>
        <w:jc w:val="both"/>
        <w:rPr/>
      </w:pPr>
      <w:r>
        <w:rPr/>
        <w:t xml:space="preserve">Wśród najczęstszych przyczyn przyznania świadczeń z pomocy społecznej w MOF Włocławka wyraźnie dominowały ubóstwo oraz bezrobocie. W 2020 r. z powodu ubóstwa pomocą społeczną objęte były 5 594 rodziny (z czego 59,2% we Włocławku i 40,8% w powiecie włocławskim), zaś ze względu </w:t>
        <w:br/>
        <w:t xml:space="preserve">na bezrobocie – 5 015 rodzin (z czego 55,3% we Włocławku i 44,7% w powiecie włocławskim), przy czym wartości te są znacznie niższe niż w poprzednich latach. Do częstych przyczyn należały również długotrwała lub ciężka choroba (2 026 rodzin, z czego 59,3% we Włocławku), niepełnosprawność (1 882 rodziny, z czego 63% we Włocławku) oraz bezradność w sprawach opiekuńczo-wychowawczych i prowadzenia gospodarstwa domowego (1 509 rodzin, z czego 76,1% we Włocławku). </w:t>
      </w:r>
    </w:p>
    <w:p>
      <w:pPr>
        <w:pStyle w:val="Normal"/>
        <w:spacing w:lineRule="auto" w:line="276"/>
        <w:jc w:val="both"/>
        <w:rPr/>
      </w:pPr>
      <w:r>
        <w:rPr/>
        <w:t xml:space="preserve">Na terenie MOF Włocławka w 2020 r. zasiłek rodzinny otrzymywało 4 881 rodzin (z czego 54,4% </w:t>
        <w:br/>
        <w:t xml:space="preserve">w powiecie włocławskim), a objętych nim było 8 898 dzieci w wieku do 17 lat. Od 2010 r. zauważalny jest znaczny spadek zarówno liczby rodzin korzystających ze świadczenia (spadek o 47,1%), jak i liczby dzieci, na które rodzice otrzymują tego rodzaju świadczenie (spadek o 45,2%), co jest tendencją charakterystyczną dla całego regionu. Na wyższym poziomie niż przeciętnie w województwie, </w:t>
        <w:br/>
        <w:t>na terenie całego MOF Włocławka, kształtował się natomiast udział dzieci w wieku do 17 lat, na które rodzice otrzymują zasiłek rodzinny w ogólnej liczbie dzieci w tym wieku, który w 2020 r. wyniósł 27,9% (dla województwa 26,7%). Co prawda sam Włocławek cechuje się stosunkowo niską wartością tego wskaźnika na tle regionu 23,8%, ale już powiat włocławski notuje znacznie wyższe wartości</w:t>
        <w:br/>
        <w:t xml:space="preserve"> niż przeciętnie w województwie (32,6%). W obrębie MOF Włocławka gminami o najwyższym odsetku dzieci w wieku do 17 lat, na które rodzice otrzymują zasiłek rodzinny w ogólnej liczbie dzieci w tym wieku były Baruchowo (43,8%) i Izbica Kujawska (40,2%), najniższą wartość wskaźnika zanotowano </w:t>
        <w:br/>
        <w:t xml:space="preserve">w gminie miejskiej Włocławek (23,8%) i Lubanie (24,7%). </w:t>
      </w:r>
    </w:p>
    <w:p>
      <w:pPr>
        <w:pStyle w:val="Normal"/>
        <w:spacing w:before="120" w:after="0"/>
        <w:rPr>
          <w:rFonts w:eastAsia="MS Mincho"/>
          <w:sz w:val="20"/>
          <w:szCs w:val="20"/>
        </w:rPr>
      </w:pPr>
      <w:r>
        <w:rPr>
          <w:rFonts w:eastAsia="MS Mincho"/>
          <w:b/>
          <w:sz w:val="20"/>
          <w:szCs w:val="20"/>
        </w:rPr>
        <w:t xml:space="preserve">Tabela 6.  </w:t>
      </w:r>
      <w:r>
        <w:rPr>
          <w:rFonts w:eastAsia="Times New Roman" w:cs="Times New Roman"/>
          <w:b/>
          <w:sz w:val="20"/>
          <w:szCs w:val="20"/>
          <w:lang w:eastAsia="pl-PL"/>
        </w:rPr>
        <w:t>Pomoc społeczna i świadczenia na rzecz rodziny w MOF Włocławka</w:t>
      </w:r>
    </w:p>
    <w:tbl>
      <w:tblPr>
        <w:tblW w:w="907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57"/>
        <w:gridCol w:w="1622"/>
        <w:gridCol w:w="1722"/>
        <w:gridCol w:w="1723"/>
        <w:gridCol w:w="1724"/>
        <w:gridCol w:w="1723"/>
      </w:tblGrid>
      <w:tr>
        <w:trPr>
          <w:trHeight w:val="299" w:hRule="atLeast"/>
        </w:trPr>
        <w:tc>
          <w:tcPr>
            <w:tcW w:w="2179"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3445"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Udział korzystających ze środowiskowej pomocy społecznej w ludności ogółem (%)</w:t>
            </w:r>
          </w:p>
        </w:tc>
        <w:tc>
          <w:tcPr>
            <w:tcW w:w="3447"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Udział dzieci w wieku do 17 lat, na które rodzice otrzymują zasiłek rodzinny  w ogólnej liczbie dzieci w tym wieku (%)</w:t>
            </w:r>
          </w:p>
        </w:tc>
      </w:tr>
      <w:tr>
        <w:trPr>
          <w:trHeight w:val="299" w:hRule="atLeast"/>
        </w:trPr>
        <w:tc>
          <w:tcPr>
            <w:tcW w:w="2179"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172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172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172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172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r>
      <w:tr>
        <w:trPr>
          <w:trHeight w:val="299" w:hRule="atLeast"/>
        </w:trPr>
        <w:tc>
          <w:tcPr>
            <w:tcW w:w="2179" w:type="dxa"/>
            <w:gridSpan w:val="2"/>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t>MOF Włocławka</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13,9</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7,6</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43,2</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27,9</w:t>
            </w:r>
          </w:p>
        </w:tc>
      </w:tr>
      <w:tr>
        <w:trPr>
          <w:trHeight w:val="299" w:hRule="atLeast"/>
        </w:trPr>
        <w:tc>
          <w:tcPr>
            <w:tcW w:w="557"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tcPr>
          <w:p>
            <w:pPr>
              <w:pStyle w:val="Normal"/>
              <w:widowControl w:val="false"/>
              <w:spacing w:lineRule="auto" w:line="240" w:before="40" w:after="40"/>
              <w:ind w:left="113" w:right="113" w:hanging="0"/>
              <w:jc w:val="center"/>
              <w:rPr>
                <w:rFonts w:eastAsia="MS Mincho" w:cs="Calibri" w:cstheme="minorHAnsi"/>
                <w:b/>
                <w:bCs/>
                <w:sz w:val="18"/>
                <w:szCs w:val="18"/>
              </w:rPr>
            </w:pPr>
            <w:r>
              <w:rPr>
                <w:rFonts w:eastAsia="MS Mincho" w:cs="Calibri" w:cstheme="minorHAnsi"/>
                <w:b/>
                <w:bCs/>
                <w:sz w:val="18"/>
                <w:szCs w:val="18"/>
              </w:rPr>
              <w:t>Gminy</w:t>
            </w:r>
          </w:p>
        </w:tc>
        <w:tc>
          <w:tcPr>
            <w:tcW w:w="16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Baruchowo</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12,3</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8,1</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64,4</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43,8</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Boniewo </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14,8</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8,5</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58,8</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 xml:space="preserve">39,0 </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Brześć Kujawski</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16,5</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9,5</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47,9</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26,8</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Choceń</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15,2</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9,1</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56,7</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36,5</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Chodecz </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17,0</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10,8</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58,7</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32,4</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Fabianki </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15,2</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7,1</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46,7</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28,4</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Izbica Kujawska </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16,1</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6,3</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62,4</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40,2</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Kowal (miejska)</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14,9</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4,7</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47,3</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27,5</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Kowal (wiejska)</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14,2</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5,7</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60,1</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37,6</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Lubanie</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10,5</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4,3</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42,7</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24,7</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 xml:space="preserve">Lubień Kujawski </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13,0</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11,1</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50,1</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35,1</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Lubraniec</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12,5</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6,3</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53,0</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34,7</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cs="Calibri" w:cstheme="minorHAnsi"/>
                <w:b/>
                <w:sz w:val="18"/>
                <w:szCs w:val="18"/>
              </w:rPr>
            </w:pPr>
            <w:r>
              <w:rPr>
                <w:rFonts w:cs="Calibri" w:cstheme="minorHAnsi"/>
                <w:b/>
                <w:sz w:val="18"/>
                <w:szCs w:val="18"/>
              </w:rPr>
              <w:t>Włocławek (miejska)</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eastAsia="Times New Roman" w:cs="Calibri" w:cstheme="minorHAnsi"/>
                <w:sz w:val="18"/>
                <w:szCs w:val="18"/>
                <w:lang w:eastAsia="pl-PL"/>
              </w:rPr>
              <w:t>13,3</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eastAsia="Times New Roman" w:cs="Calibri" w:cstheme="minorHAnsi"/>
                <w:sz w:val="18"/>
                <w:szCs w:val="18"/>
                <w:lang w:eastAsia="pl-PL"/>
              </w:rPr>
              <w:t>7,4</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eastAsia="Times New Roman" w:cs="Calibri" w:cstheme="minorHAnsi"/>
                <w:sz w:val="18"/>
                <w:szCs w:val="18"/>
                <w:lang w:eastAsia="pl-PL"/>
              </w:rPr>
              <w:t>34,5</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eastAsia="Times New Roman" w:cs="Calibri" w:cstheme="minorHAnsi"/>
                <w:sz w:val="18"/>
                <w:szCs w:val="18"/>
                <w:lang w:eastAsia="pl-PL"/>
              </w:rPr>
              <w:t>23,8</w:t>
            </w:r>
          </w:p>
        </w:tc>
      </w:tr>
      <w:tr>
        <w:trPr>
          <w:trHeight w:val="299" w:hRule="atLeast"/>
        </w:trPr>
        <w:tc>
          <w:tcPr>
            <w:tcW w:w="557"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62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Włocławek (wiejska)</w:t>
            </w:r>
          </w:p>
        </w:tc>
        <w:tc>
          <w:tcPr>
            <w:tcW w:w="172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15,7</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6,9</w:t>
            </w:r>
          </w:p>
        </w:tc>
        <w:tc>
          <w:tcPr>
            <w:tcW w:w="172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51,5</w:t>
            </w:r>
          </w:p>
        </w:tc>
        <w:tc>
          <w:tcPr>
            <w:tcW w:w="172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MS Mincho" w:cs="Calibri" w:cstheme="minorHAnsi"/>
                <w:bCs/>
                <w:strike/>
                <w:sz w:val="18"/>
                <w:szCs w:val="18"/>
              </w:rPr>
            </w:pPr>
            <w:r>
              <w:rPr>
                <w:rFonts w:cs="Calibri" w:cstheme="minorHAnsi"/>
                <w:sz w:val="18"/>
                <w:szCs w:val="18"/>
              </w:rPr>
              <w:t>27,1</w:t>
            </w:r>
          </w:p>
        </w:tc>
      </w:tr>
      <w:tr>
        <w:trPr>
          <w:trHeight w:val="299" w:hRule="atLeast"/>
        </w:trPr>
        <w:tc>
          <w:tcPr>
            <w:tcW w:w="2179"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eastAsia="MS Mincho" w:cs="Calibri" w:cstheme="minorHAnsi"/>
                <w:b/>
                <w:bCs/>
                <w:sz w:val="18"/>
                <w:szCs w:val="18"/>
              </w:rPr>
              <w:t>Województwo kujawsko-pomorskie</w:t>
            </w:r>
          </w:p>
        </w:tc>
        <w:tc>
          <w:tcPr>
            <w:tcW w:w="172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11,6</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6,0</w:t>
            </w:r>
          </w:p>
        </w:tc>
        <w:tc>
          <w:tcPr>
            <w:tcW w:w="172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41,9</w:t>
            </w:r>
          </w:p>
        </w:tc>
        <w:tc>
          <w:tcPr>
            <w:tcW w:w="172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26,7</w:t>
            </w:r>
          </w:p>
        </w:tc>
      </w:tr>
    </w:tbl>
    <w:p>
      <w:pPr>
        <w:pStyle w:val="RdoTABEL"/>
        <w:rPr/>
      </w:pPr>
      <w:r>
        <w:rPr/>
        <w:t>Źródło: Opracowanie KPBPPiR o. Bydgoszcz na podstawie danych GUS</w:t>
      </w:r>
    </w:p>
    <w:p>
      <w:pPr>
        <w:pStyle w:val="Normal"/>
        <w:rPr/>
      </w:pPr>
      <w:r>
        <w:rPr/>
      </w:r>
    </w:p>
    <w:p>
      <w:pPr>
        <w:pStyle w:val="Normal"/>
        <w:spacing w:lineRule="auto" w:line="276"/>
        <w:jc w:val="both"/>
        <w:rPr>
          <w:rFonts w:cs="Calibri" w:cstheme="minorHAnsi"/>
        </w:rPr>
      </w:pPr>
      <w:r>
        <w:rPr>
          <w:rFonts w:cs="Calibri" w:cstheme="minorHAnsi"/>
        </w:rPr>
        <w:t xml:space="preserve">Niekorzystne warunki bytowe i uzależnienie od pomocy społecznej, będące następstwem, niezaradności, niskiej aktywności społecznej, braku kwalifikacji zawodowej, niechęci do pracy, </w:t>
        <w:br/>
        <w:t xml:space="preserve">czy nałogów są barierami rozwoju trudnymi do przełamania i o tyle niekorzystnymi, że nie dotykają pojedynczych osób a całych rodzin, czy wręcz społeczności obszaru. Niekorzystne postawy życiowe </w:t>
        <w:br/>
        <w:t xml:space="preserve">są dziedziczone, co w konsekwencji powoduje ich powielanie przez kolejne pokolenia. Dlatego niezmiernie istotne jest wspieranie aktywizacji mieszkańców MOF, a zwłaszcza dzieci i młodzieży, poprzez przekazywanie pozytywnych wzorców, uczenie przedsiębiorczości i samodzielności, rozwijanie aspiracji, zachęcanie do zdobywania wykształcenia i dobrych kwalifikacji zawodowych, które </w:t>
        <w:br/>
        <w:t xml:space="preserve">w dorosłym życiu umożliwią dzieciom i młodzieży życie poza systemem pomocy społecznej. </w:t>
      </w:r>
    </w:p>
    <w:p>
      <w:pPr>
        <w:pStyle w:val="Normal"/>
        <w:spacing w:lineRule="auto" w:line="276"/>
        <w:jc w:val="both"/>
        <w:rPr>
          <w:rFonts w:cs="Calibri" w:cstheme="minorHAnsi"/>
        </w:rPr>
      </w:pPr>
      <w:bookmarkStart w:id="73" w:name="_Hlk120791300"/>
      <w:r>
        <w:rPr>
          <w:rFonts w:cs="Calibri" w:cstheme="minorHAnsi"/>
        </w:rPr>
        <w:t xml:space="preserve">Ważną sferą aktywności obywatelskiej, która umożliwia lokalne rozwiązywanie problemów społecznych jest też ekonomia społeczna. Ekonomia społeczna poprzez swoją działalność gospodarczą i działalność pożytku publicznego pomaga w tworzeniu miejsc pracy i świadczeniu usług społecznych, dla osób zagrożonych marginalizacją społeczną. Wysoka wartość ekonomii społecznej i jej lokalnego oddziaływania wpływa na rozwój regionu i zmniejszenie liczby osób zagrożonych wykluczeniem. Obecnie poziom rozwoju ekonomii społecznej jest dość niski. Istotne zatem jest kładzenie nacisku </w:t>
        <w:br/>
        <w:t xml:space="preserve">na dalszy rozwój ekonomii społecznej umożliwiający </w:t>
      </w:r>
      <w:r>
        <w:rPr>
          <w:rFonts w:cs="Calibri" w:cstheme="minorHAnsi"/>
          <w:shd w:fill="FFFFFF" w:val="clear"/>
        </w:rPr>
        <w:t xml:space="preserve">aktywizację zawodową i integrację społeczną osób </w:t>
        <w:br/>
        <w:t>z grup defaworyzowanych.</w:t>
      </w:r>
      <w:bookmarkEnd w:id="73"/>
    </w:p>
    <w:p>
      <w:pPr>
        <w:pStyle w:val="Normal"/>
        <w:rPr/>
      </w:pPr>
      <w:r>
        <w:rPr/>
      </w:r>
    </w:p>
    <w:p>
      <w:pPr>
        <w:pStyle w:val="2poziom"/>
        <w:numPr>
          <w:ilvl w:val="0"/>
          <w:numId w:val="0"/>
        </w:numPr>
        <w:ind w:left="851" w:hanging="491"/>
        <w:rPr>
          <w:rFonts w:eastAsia="MS Mincho"/>
        </w:rPr>
      </w:pPr>
      <w:bookmarkStart w:id="74" w:name="_Toc143161900"/>
      <w:r>
        <w:rPr>
          <w:rFonts w:eastAsia="MS Mincho"/>
        </w:rPr>
        <w:t>2.9. Opieka zdrowotna</w:t>
      </w:r>
      <w:bookmarkEnd w:id="74"/>
    </w:p>
    <w:p>
      <w:pPr>
        <w:pStyle w:val="Normal"/>
        <w:spacing w:lineRule="auto" w:line="276"/>
        <w:jc w:val="both"/>
        <w:rPr>
          <w:rFonts w:eastAsia="MS Mincho" w:cs="Calibri" w:cstheme="minorHAnsi"/>
          <w:iCs/>
        </w:rPr>
      </w:pPr>
      <w:bookmarkStart w:id="75" w:name="_Hlk119499874"/>
      <w:r>
        <w:rPr/>
        <w:t xml:space="preserve">Bardzo istotne dla rozwoju społecznego jest utrzymywanie dobrego stanu zdrowia ludności. </w:t>
        <w:br/>
        <w:t xml:space="preserve">Jest to szczególnie ważne mając na uwadze zachodzący i stale pogłębiający się proces starzenia </w:t>
        <w:br/>
        <w:t>się społeczeństwa (wzrostu liczby ludności starszej oraz wydłużania się życia), kiedy wraz z wiekiem stan zdrowia pogarsza się (m.in. wzrasta zapotrzebowanie na świadczenia z zakresu rehabilitacji),</w:t>
        <w:br/>
        <w:t xml:space="preserve"> a także w ostatnich latach pogarszający się stan zdrowia psychicznego społeczeństwa. W związku </w:t>
        <w:br/>
        <w:t>z tym ważne jest utrzymywanie wysokiej dostępności oraz poziomu udzielanych świadczeń w ramach opieki zdrowotnej</w:t>
      </w:r>
      <w:bookmarkEnd w:id="75"/>
      <w:r>
        <w:rPr/>
        <w:t>, zwłaszcza realizowanej w warunkach ambulatoryjnych poprzez m.in. wsparcie infrastrukturalne placówek oraz zakup wyposażenia i sprzętu medycznego.</w:t>
      </w:r>
    </w:p>
    <w:p>
      <w:pPr>
        <w:pStyle w:val="Normal"/>
        <w:spacing w:lineRule="auto" w:line="276"/>
        <w:jc w:val="both"/>
        <w:rPr>
          <w:rFonts w:eastAsia="MS Mincho" w:cs="Calibri" w:cstheme="minorHAnsi"/>
          <w:iCs/>
        </w:rPr>
      </w:pPr>
      <w:r>
        <w:rPr>
          <w:rFonts w:eastAsia="MS Mincho" w:cs="Calibri" w:cstheme="minorHAnsi"/>
          <w:iCs/>
        </w:rPr>
        <w:t xml:space="preserve">Na terenie MOF Włocławka podstawowa opieka zdrowotna (POZ) w 2021 r. dostępna była </w:t>
        <w:br/>
        <w:t>we Włocławku i we wszystkich gminach powiatu włocławskiego poza gminą wiejską Kowal. Placówki POZ znajdowały się w 18 miejscowościach powiatu włocławskiego (w miastach, w 4 siedzibach gmin wiejskich i 8 miejscowościach wiejskich). W każdej z tych miejscowości działał co najmniej jeden gabinet/poradnia lekarska, w większości z nich dostępny był także co najmniej jeden gabinet/poradnia położnej POZ i co najmniej jeden gabinet/poradnia pielęgniarki POZ.</w:t>
      </w:r>
      <w:r>
        <w:rPr>
          <w:rStyle w:val="Zakotwiczenieprzypisudolnego"/>
          <w:rFonts w:eastAsia="MS Mincho" w:cs="Calibri" w:cstheme="minorHAnsi"/>
          <w:iCs/>
        </w:rPr>
        <w:footnoteReference w:id="18"/>
      </w:r>
      <w:r>
        <w:rPr>
          <w:rFonts w:eastAsia="MS Mincho" w:cs="Calibri" w:cstheme="minorHAnsi"/>
          <w:iCs/>
        </w:rPr>
        <w:t xml:space="preserve"> </w:t>
      </w:r>
    </w:p>
    <w:p>
      <w:pPr>
        <w:pStyle w:val="Normal"/>
        <w:spacing w:lineRule="auto" w:line="276"/>
        <w:jc w:val="both"/>
        <w:rPr>
          <w:rFonts w:eastAsia="MS Mincho" w:cs="Calibri" w:cstheme="minorHAnsi"/>
        </w:rPr>
      </w:pPr>
      <w:r>
        <w:rPr>
          <w:rFonts w:eastAsia="MS Mincho" w:cs="Calibri" w:cstheme="minorHAnsi"/>
        </w:rPr>
        <w:t xml:space="preserve">Kluczową rolę w zakresie zarówno opieki szpitalnej, jak i ambulatoryjnej opieki specjalistycznej </w:t>
        <w:br/>
        <w:t xml:space="preserve">w obrębie MOF pełni Włocławek. W mieście rdzeniowym obszaru skupione są bowiem placówki realizujące świadczenia zdrowotne – zwłaszcza specjalistyczne, z których korzystają nie tylko mieszkańcy miasta, ale całego obszaru MOF. </w:t>
      </w:r>
    </w:p>
    <w:p>
      <w:pPr>
        <w:pStyle w:val="Normal"/>
        <w:spacing w:lineRule="auto" w:line="276"/>
        <w:jc w:val="both"/>
        <w:rPr>
          <w:rFonts w:eastAsia="MS Mincho" w:cs="Calibri" w:cstheme="minorHAnsi"/>
          <w:iCs/>
        </w:rPr>
      </w:pPr>
      <w:r>
        <w:rPr>
          <w:rFonts w:eastAsia="MS Mincho" w:cs="Calibri" w:cstheme="minorHAnsi"/>
          <w:iCs/>
        </w:rPr>
        <w:t>W 2019 r. na terenie analizowanego obszaru podmioty prowadzące oddziały szpitalne lub inne komórki opieki szpitalnej działały tylko we Włocławku. Do tzw. sieci szpitali, czyli systemu podstawowego szpitalnego zabezpieczenia świadczeń opieki zdrowotnej (III stopnia) zaliczany jest Wojewódzki Szpital Specjalistyczny im. Błogosławionego Księdza Jerzego Popiełuszki we Włocławku. Poza siecią szpitali działały także 4 inne placówki prowadzące tego typu działalność.</w:t>
      </w:r>
      <w:r>
        <w:rPr>
          <w:rFonts w:eastAsia="MS Mincho" w:cs="Calibri" w:cstheme="minorHAnsi"/>
          <w:iCs/>
          <w:vertAlign w:val="superscript"/>
        </w:rPr>
        <w:t xml:space="preserve"> </w:t>
      </w:r>
      <w:r>
        <w:rPr>
          <w:rStyle w:val="Zakotwiczenieprzypisudolnego"/>
          <w:rFonts w:eastAsia="MS Mincho" w:cs="Calibri" w:cstheme="minorHAnsi"/>
          <w:iCs/>
          <w:vertAlign w:val="superscript"/>
        </w:rPr>
        <w:footnoteReference w:id="19"/>
      </w:r>
      <w:r>
        <w:rPr>
          <w:rFonts w:eastAsia="MS Mincho" w:cs="Calibri" w:cstheme="minorHAnsi"/>
          <w:iCs/>
        </w:rPr>
        <w:t xml:space="preserve"> </w:t>
      </w:r>
    </w:p>
    <w:p>
      <w:pPr>
        <w:pStyle w:val="Normal"/>
        <w:spacing w:lineRule="auto" w:line="276"/>
        <w:jc w:val="both"/>
        <w:rPr>
          <w:rFonts w:cs="Calibri" w:cstheme="minorHAnsi"/>
        </w:rPr>
      </w:pPr>
      <w:r>
        <w:rPr>
          <w:rFonts w:cs="Calibri" w:cstheme="minorHAnsi"/>
        </w:rPr>
        <w:t>Ze względu na fakt, że w skład analizowanego obszaru wchodzi miasto o randze regionalnej jakim jest Włocławek, obszar ten cechował się dużą liczbą ogółem (140 placówek) oraz dużą liczbą rodzajów</w:t>
        <w:br/>
        <w:t xml:space="preserve"> (46 różnych specjalności) poradni specjalistycznych działających w ramach ambulatoryjnej opieki specjalistycznej</w:t>
      </w:r>
      <w:r>
        <w:rPr>
          <w:rStyle w:val="Zakotwiczenieprzypisudolnego"/>
          <w:rFonts w:cs="Calibri" w:cstheme="minorHAnsi"/>
        </w:rPr>
        <w:footnoteReference w:id="20"/>
      </w:r>
      <w:r>
        <w:rPr>
          <w:rFonts w:cs="Calibri" w:cstheme="minorHAnsi"/>
        </w:rPr>
        <w:t>. Większość z nich, poza 18 poradniami położniczo-ginekologicznymi/ ginekologicznymi, zlokalizowana była na obszarze miasta Włocławek. Do najliczniej reprezentowanych na tym obszarze AOS (poza poradniami położniczo-ginekologicznymi, które w całym regionie cechują się dużą dostępnością) należały poradnie: okulistyczne (6 placówek), neurologiczne (6), chirurgii ogólnej (6), otorynolaryngologiczne (5), dermatologiczne (5), kardiologiczne (5), chirurgii urazowo-ortopedycznej (5), endokrynologiczne (4), urologiczne (4), pracownie endoskopii (4), chorób płuc (4). Ponadto działało tutaj szereg rodzajów poradni generalnie niedostępnych poza 4 największymi miastami regionu (poza Włocławkiem, Bydgoszcz, Toruń i Grudziądz) i pojedynczymi pozostałymi powiatami – dotyczyło to m.in. poradni różnych specjalności dla dzieci, a także chirurgii onkologicznej, neonatologii, osteoporozy, hematologii, chirurgii naczyniowej.</w:t>
      </w:r>
    </w:p>
    <w:p>
      <w:pPr>
        <w:pStyle w:val="Normal"/>
        <w:spacing w:lineRule="auto" w:line="276"/>
        <w:jc w:val="both"/>
        <w:rPr/>
      </w:pPr>
      <w:r>
        <w:rPr>
          <w:rFonts w:cs="Calibri" w:cstheme="minorHAnsi"/>
        </w:rPr>
        <w:t>Opieka długoterminowa</w:t>
      </w:r>
      <w:r>
        <w:rPr>
          <w:rStyle w:val="Zakotwiczenieprzypisudolnego"/>
          <w:rFonts w:cs="Calibri" w:cstheme="minorHAnsi"/>
        </w:rPr>
        <w:footnoteReference w:id="21"/>
      </w:r>
      <w:r>
        <w:rPr>
          <w:rFonts w:cs="Calibri" w:cstheme="minorHAnsi"/>
        </w:rPr>
        <w:t xml:space="preserve"> na analizowanym MOF w 2019 r. dostępna była tylko w formie opieki domowej </w:t>
      </w:r>
      <w:r>
        <w:rPr>
          <w:rStyle w:val="Glowny"/>
          <w:rFonts w:cs="Calibri" w:cstheme="minorHAnsi"/>
        </w:rPr>
        <w:t>świadczonej przez pielęgniarkę opieki długoterminowej w domu osoby potrzebującej,</w:t>
        <w:br/>
        <w:t xml:space="preserve"> z której</w:t>
      </w:r>
      <w:r>
        <w:rPr>
          <w:rFonts w:cs="Calibri" w:cstheme="minorHAnsi"/>
        </w:rPr>
        <w:t xml:space="preserve"> korzystało 447 pacjentów </w:t>
      </w:r>
      <w:r>
        <w:rPr>
          <w:rStyle w:val="Glowny"/>
          <w:rFonts w:cs="Calibri" w:cstheme="minorHAnsi"/>
        </w:rPr>
        <w:t>(244 pacjentów w mieście Włocławek i 203 na pozostałym obszarze; oferowało ją 9 świadczeniodawców). W zakresie opieki paliatywnej i hospicyjnej</w:t>
      </w:r>
      <w:r>
        <w:rPr>
          <w:rStyle w:val="Zakotwiczenieprzypisudolnego"/>
          <w:rFonts w:cs="Calibri" w:cstheme="minorHAnsi"/>
        </w:rPr>
        <w:footnoteReference w:id="22"/>
      </w:r>
      <w:r>
        <w:rPr>
          <w:rStyle w:val="Glowny"/>
          <w:rFonts w:cs="Calibri" w:cstheme="minorHAnsi"/>
        </w:rPr>
        <w:t xml:space="preserve"> na obszarze dostępne były różne formy świadczeń – w 2019 r. z hospicjum domowego korzystało 560 pacjentów,</w:t>
        <w:br/>
        <w:t xml:space="preserve"> z hospicjum domowego dla dzieci 9 pacjentów, z formy stacjonarnej na oddziale medycyny paliatywnej w Wojewódzkim Szpitalu Specjalistycznym im. błogosławionego księdza Jerzego Popiełuszki we Włocławku korzystało 222 pacjentów (oddział składał się z 18 łóżek), natomiast z opieki ambulatoryjnej w poradni medycyny paliatywnej 112 pacjentów (we Włocławku działała jedna z 8 tego typu poradni w województwie). Również w zakresie rehabilitacji medycznej</w:t>
      </w:r>
      <w:r>
        <w:rPr>
          <w:rStyle w:val="Zakotwiczenieprzypisudolnego"/>
          <w:rFonts w:cs="Calibri" w:cstheme="minorHAnsi"/>
        </w:rPr>
        <w:footnoteReference w:id="23"/>
      </w:r>
      <w:r>
        <w:rPr>
          <w:rStyle w:val="Glowny"/>
          <w:rFonts w:cs="Calibri" w:cstheme="minorHAnsi"/>
        </w:rPr>
        <w:t xml:space="preserve"> dostępny był na tym obszarze szeroki wybór form świadczeń, przy czym większość w m. Włocławek – w formie ambulatoryjnej świadczeń udzielało 16 świadczeniodawców zlokalizowanych w mieście Włocławek </w:t>
        <w:br/>
        <w:t xml:space="preserve">i 9 na pozostałym obszarze, w formie dziennej 3 świadczeniodawców udzielało świadczeń w zakresie rehabilitacji zaburzeń wieku rozwojowego (w m. Włocławek) oraz 1 świadczeniodawca w zakresie rehabilitacji ogólnej i kardiologicznej (Choceń), a także 1 świadczeniodawca w formie stacjonarnej </w:t>
        <w:br/>
        <w:t xml:space="preserve">w </w:t>
      </w:r>
      <w:r>
        <w:rPr>
          <w:rStyle w:val="Glowny"/>
          <w:szCs w:val="20"/>
        </w:rPr>
        <w:t xml:space="preserve">zakresie rehabilitacji ogólnej (w m. Włocławek) i 1 w formie domowej (w m. Włocławek). </w:t>
      </w:r>
      <w:r>
        <w:rPr/>
        <w:t>W ramach opieki psychiatrycznej, zdrowia psychicznego i terapii uzależnień</w:t>
      </w:r>
      <w:r>
        <w:rPr>
          <w:rStyle w:val="Zakotwiczenieprzypisudolnego"/>
          <w:szCs w:val="20"/>
        </w:rPr>
        <w:footnoteReference w:id="24"/>
      </w:r>
      <w:r>
        <w:rPr/>
        <w:t xml:space="preserve"> na obszarze MOF działało szereg placówek, z których wszystkie znajdowały się w m. Włocławek – było to 7 poradni zdrowia psychicznego (wszystkie w m. Włocławek), 3 poradnie psychologiczna i 1 poradnia psychologiczna dla dzieci, 2 dzienne oddziały psychiatryczne (ogólne) oraz 3 poradnie leczenia uzależnień (w tym</w:t>
        <w:br/>
        <w:t xml:space="preserve"> 1 poradnia leczenia uzależnień od alkoholu).</w:t>
      </w:r>
    </w:p>
    <w:p>
      <w:pPr>
        <w:pStyle w:val="Normal"/>
        <w:spacing w:lineRule="auto" w:line="276"/>
        <w:jc w:val="both"/>
        <w:rPr/>
      </w:pPr>
      <w:r>
        <w:rPr/>
      </w:r>
    </w:p>
    <w:p>
      <w:pPr>
        <w:pStyle w:val="TytuMAPiTABEL"/>
        <w:rPr/>
      </w:pPr>
      <w:r>
        <w:rPr/>
        <w:t>Mapa 6.  Rozmieszczenie placówek POZ w województwie kujawsko-pomorskim w 2021 r.</w:t>
      </w:r>
    </w:p>
    <w:p>
      <w:pPr>
        <w:pStyle w:val="Normal"/>
        <w:spacing w:lineRule="auto" w:line="259" w:before="120" w:after="0"/>
        <w:rPr>
          <w:rFonts w:eastAsia="MS Mincho"/>
          <w:b/>
        </w:rPr>
      </w:pPr>
      <w:r>
        <w:rPr/>
        <w:drawing>
          <wp:inline distT="0" distB="0" distL="0" distR="0">
            <wp:extent cx="5759450" cy="4048125"/>
            <wp:effectExtent l="0" t="0" r="0" b="0"/>
            <wp:docPr id="39" name="Obraz 10" descr="C:\Users\Magda\Desktop\OPPT\POZ\MOF włocław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0" descr="C:\Users\Magda\Desktop\OPPT\POZ\MOF włocławek.png"/>
                    <pic:cNvPicPr>
                      <a:picLocks noChangeAspect="1" noChangeArrowheads="1"/>
                    </pic:cNvPicPr>
                  </pic:nvPicPr>
                  <pic:blipFill>
                    <a:blip r:embed="rId22"/>
                    <a:stretch>
                      <a:fillRect/>
                    </a:stretch>
                  </pic:blipFill>
                  <pic:spPr bwMode="auto">
                    <a:xfrm>
                      <a:off x="0" y="0"/>
                      <a:ext cx="5759450" cy="4048125"/>
                    </a:xfrm>
                    <a:prstGeom prst="rect">
                      <a:avLst/>
                    </a:prstGeom>
                  </pic:spPr>
                </pic:pic>
              </a:graphicData>
            </a:graphic>
          </wp:inline>
        </w:drawing>
      </w:r>
    </w:p>
    <w:p>
      <w:pPr>
        <w:pStyle w:val="Normal"/>
        <w:rPr>
          <w:rFonts w:eastAsia="MS Mincho" w:cs="Calibri" w:cstheme="minorHAnsi"/>
          <w:iCs/>
        </w:rPr>
      </w:pPr>
      <w:r>
        <w:rPr>
          <w:rFonts w:eastAsia="MS Mincho" w:cs="Calibri" w:cstheme="minorHAnsi"/>
          <w:iCs/>
        </w:rPr>
      </w:r>
    </w:p>
    <w:p>
      <w:pPr>
        <w:pStyle w:val="Normal"/>
        <w:spacing w:lineRule="auto" w:line="276"/>
        <w:jc w:val="both"/>
        <w:rPr>
          <w:rFonts w:eastAsia="MS Mincho"/>
        </w:rPr>
      </w:pPr>
      <w:r>
        <w:rPr>
          <w:rFonts w:eastAsia="MS Mincho" w:cs="Calibri" w:cstheme="minorHAnsi"/>
          <w:iCs/>
        </w:rPr>
        <w:t>W 2019 r. w MOF Włocławka było łącznie 471 lekarzy (7,5% lekarzy w województwie) i 1 037 pielęgniarek (8,1% pielęgniarek w województwie).</w:t>
      </w:r>
      <w:r>
        <w:rPr>
          <w:rFonts w:eastAsia="MS Mincho"/>
        </w:rPr>
        <w:t xml:space="preserve"> Zasoby kadrowe Włocławka (402 lekarzy, 843 pielęgniarki) znacznie przewyższają te dostępne w powiecie włocławskim (69 lekarzy, 194 pielęgniarki). Jest to sytuacja charakterystyczna dla większości miast na prawach powiatu (gdzie skupione</w:t>
        <w:br/>
        <w:t xml:space="preserve"> są placówki realizujące świadczenia zdrowotne - zwłaszcza specjalistyczne) i sąsiadujących z nimi powiatów ziemskich. </w:t>
      </w:r>
    </w:p>
    <w:p>
      <w:pPr>
        <w:pStyle w:val="Normal"/>
        <w:spacing w:lineRule="auto" w:line="276"/>
        <w:jc w:val="both"/>
        <w:rPr>
          <w:rFonts w:eastAsia="MS Mincho" w:cs="Calibri" w:cstheme="minorHAnsi"/>
          <w:iCs/>
        </w:rPr>
      </w:pPr>
      <w:r>
        <w:rPr>
          <w:rFonts w:eastAsia="MS Mincho" w:cs="Calibri" w:cstheme="minorHAnsi"/>
          <w:iCs/>
        </w:rPr>
        <w:t xml:space="preserve">W obrębie MOF zarówno w przypadku lekarzy, jak i pielęgniarek wskaźniki ich liczby w przeliczeniu </w:t>
        <w:br/>
        <w:t xml:space="preserve">na 100 tys. mieszkańców są zróżnicowane. We Włocławku przyjmowały wartości znacznie wyższe </w:t>
        <w:br/>
        <w:t>niż przeciętnie w województwie. W 2019 r. liczba lekarzy na 100 tys. mieszkańców wynosiła tu 365,8 (dla województwa 304,4 lekarzy na 100 tys. ludności) a pielęgniarek 767,2 (dla województwa 618,0 pielęgniarek na 100 tys. mieszkańców). Zdecydowanie mniejszymi zasobami kadrowymi dysponuje powiat włocławski. W 2019r. wartość analizowanego wskaźnika</w:t>
      </w:r>
      <w:r>
        <w:rPr/>
        <w:t xml:space="preserve"> </w:t>
      </w:r>
      <w:r>
        <w:rPr>
          <w:rFonts w:eastAsia="MS Mincho" w:cs="Calibri" w:cstheme="minorHAnsi"/>
          <w:iCs/>
        </w:rPr>
        <w:t>dla lekarzy była równa 80,2/100 tys. mieszkańców a dla pielęgniarek 225,5/100 tys.</w:t>
      </w:r>
    </w:p>
    <w:p>
      <w:pPr>
        <w:pStyle w:val="Normal"/>
        <w:spacing w:lineRule="auto" w:line="276"/>
        <w:jc w:val="both"/>
        <w:rPr>
          <w:rFonts w:eastAsia="MS Mincho" w:cs="Calibri" w:cstheme="minorHAnsi"/>
          <w:iCs/>
        </w:rPr>
      </w:pPr>
      <w:r>
        <w:rPr>
          <w:rFonts w:eastAsia="MS Mincho" w:cs="Calibri" w:cstheme="minorHAnsi"/>
          <w:iCs/>
        </w:rPr>
        <w:t xml:space="preserve">W MOF Włocławka znaczna część kadry medycznej to osoby w wieku emerytalnym. Udział lekarzy </w:t>
        <w:br/>
        <w:t>w wieku emerytalnym we Włocławku wynosił 32% a w powiecie włocławskim 30% - był zatem stosunkowo wysoki na tle regionu (w powiatach województwa przyjmuje wartości od 12 do 33%). Lepsza sytuacja widoczna jest w przypadku pielęgniarek, dla których odsetek ten przyjmował znacznie niższe wartości – we Włocławku był równy 14% a w powiecie włocławskim 12% (w powiatach województwa przyjmuje wartości od 10 do 21%).</w:t>
      </w:r>
      <w:r>
        <w:rPr>
          <w:rStyle w:val="Zakotwiczenieprzypisudolnego"/>
          <w:rFonts w:eastAsia="MS Mincho" w:cs="Calibri" w:cstheme="minorHAnsi"/>
          <w:iCs/>
          <w:szCs w:val="20"/>
        </w:rPr>
        <w:footnoteReference w:id="25"/>
      </w:r>
    </w:p>
    <w:p>
      <w:pPr>
        <w:pStyle w:val="Normal"/>
        <w:rPr/>
      </w:pPr>
      <w:r>
        <w:rPr/>
      </w:r>
    </w:p>
    <w:p>
      <w:pPr>
        <w:pStyle w:val="2poziom"/>
        <w:numPr>
          <w:ilvl w:val="0"/>
          <w:numId w:val="0"/>
        </w:numPr>
        <w:ind w:left="851" w:hanging="567"/>
        <w:rPr/>
      </w:pPr>
      <w:bookmarkStart w:id="76" w:name="_Toc143161901"/>
      <w:r>
        <w:rPr/>
        <w:t>2.10. Opieka żłobkowa</w:t>
      </w:r>
      <w:bookmarkEnd w:id="76"/>
    </w:p>
    <w:p>
      <w:pPr>
        <w:pStyle w:val="Normal"/>
        <w:spacing w:lineRule="auto" w:line="276"/>
        <w:jc w:val="both"/>
        <w:rPr/>
      </w:pPr>
      <w:r>
        <w:rPr/>
        <w:t>Według danych GUS opieką żłobkową (w formie żłobków, oddziałów żłobkowych i klubów dziecięcych) na terenie MOF w 2020r.</w:t>
      </w:r>
      <w:r>
        <w:rPr>
          <w:rStyle w:val="Zakotwiczenieprzypisudolnego"/>
        </w:rPr>
        <w:footnoteReference w:id="26"/>
      </w:r>
      <w:r>
        <w:rPr/>
        <w:t xml:space="preserve"> objętych było 521 dzieci w wieku do 3 lat. Udział dzieci objętych opieką żłobkową w liczbie dzieci w wieku do 3 lat wynosił 11,3%, co było wartością nieznacznie wyższą</w:t>
        <w:br/>
        <w:t xml:space="preserve"> od średniej dla województwa, która wynosiła 11,0%.</w:t>
      </w:r>
    </w:p>
    <w:p>
      <w:pPr>
        <w:pStyle w:val="Normal"/>
        <w:spacing w:lineRule="auto" w:line="276"/>
        <w:jc w:val="both"/>
        <w:rPr/>
      </w:pPr>
      <w:r>
        <w:rPr/>
        <w:t>Zgodnie z danymi Ministerstwa Rodziny i Polityki Społecznej</w:t>
      </w:r>
      <w:r>
        <w:rPr>
          <w:rStyle w:val="Zakotwiczenieprzypisudolnego"/>
          <w:vertAlign w:val="superscript"/>
        </w:rPr>
        <w:footnoteReference w:id="27"/>
      </w:r>
      <w:r>
        <w:rPr/>
        <w:t>, w kwietniu 2022 roku opiekę nad dziećmi do lat 3 świadczyło 21 żłobków (w tym 12 publicznych), przy czym prawie 62,0% z nich</w:t>
        <w:br/>
        <w:t xml:space="preserve"> (tj. 13 z 21) prowadziło działalność na terenie Włocławka, 2 niepubliczne kluby dziecięce oraz 1 dzienny opiekun. Poza największym miastem MOF opieka żłobkowa dostępna była w 5 miastach (Brześć Kujawski, Chodecz, Izbica Kujawska, Lubień Kujawski - po 1 żłobku w każdym mieście i Lubraniec - </w:t>
        <w:br/>
        <w:t>1 klub dziecięcy) i w 4 miejscowościach wiejskich (Wieniec, Choceń, Lubanie, Kruszyn - po 1 żłobku</w:t>
        <w:br/>
        <w:t xml:space="preserve"> w każdej miejscowości). W kwietniu 2022 roku na terenie 5 z 13 gmin tworzących MOF opieka instytucjonalna nad dziećmi do lat 3 nie była w ogóle sprawowana (pomimo tego widoczna jest poprawa sytuacji w stosunku do danych GUS z końca 2020 roku). Liczba dostępnych miejsc </w:t>
        <w:br/>
        <w:t xml:space="preserve">w funkcjonujących placówkach była zróżnicowana (w zakresie od 18 do 72), podobnie jak obłożenie (od 30,0 do 100,0%), które zależne było pośrednio od wysokości kosztów pobytu dziecka ponoszonych przez rodziców. W efekcie w większości przypadków całkowitym obłożeniem cechowały się obiekty zarządzane przez samorząd, w których opłata miesięczna za pobyt dziecka była najniższa. Stosunkowo wysokie obłożenie w placówkach potwierdza zainteresowanie formami opieki nad dziećmi do lat 3. </w:t>
      </w:r>
    </w:p>
    <w:p>
      <w:pPr>
        <w:pStyle w:val="TytuMAPiTABEL"/>
        <w:rPr>
          <w:lang w:eastAsia="pl-PL"/>
        </w:rPr>
      </w:pPr>
      <w:r>
        <w:rPr/>
        <w:t xml:space="preserve">Tabela 7.  </w:t>
      </w:r>
      <w:r>
        <w:rPr>
          <w:lang w:eastAsia="pl-PL"/>
        </w:rPr>
        <w:t>Dzieci objęte opieką żłobkową na terenie MOF Włocławka w 2020 r.</w:t>
      </w:r>
    </w:p>
    <w:tbl>
      <w:tblPr>
        <w:tblW w:w="9199"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11"/>
        <w:gridCol w:w="1275"/>
        <w:gridCol w:w="1134"/>
        <w:gridCol w:w="1133"/>
        <w:gridCol w:w="1134"/>
        <w:gridCol w:w="1135"/>
        <w:gridCol w:w="851"/>
        <w:gridCol w:w="991"/>
        <w:gridCol w:w="1134"/>
      </w:tblGrid>
      <w:tr>
        <w:trPr>
          <w:trHeight w:val="299" w:hRule="atLeast"/>
        </w:trPr>
        <w:tc>
          <w:tcPr>
            <w:tcW w:w="1686"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2267"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Liczba dzieci w wieku do 3 lat</w:t>
            </w:r>
          </w:p>
        </w:tc>
        <w:tc>
          <w:tcPr>
            <w:tcW w:w="2269"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Liczba dzieci objętych opieką żłobkową</w:t>
            </w:r>
          </w:p>
        </w:tc>
        <w:tc>
          <w:tcPr>
            <w:tcW w:w="2976" w:type="dxa"/>
            <w:gridSpan w:val="3"/>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Udział dzieci objętych opieką żłobkową w liczbie dzieci w wieku do 3 lat (%)</w:t>
            </w:r>
          </w:p>
        </w:tc>
      </w:tr>
      <w:tr>
        <w:trPr>
          <w:trHeight w:val="256" w:hRule="atLeast"/>
        </w:trPr>
        <w:tc>
          <w:tcPr>
            <w:tcW w:w="1686"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113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w miastach</w:t>
            </w:r>
          </w:p>
        </w:tc>
        <w:tc>
          <w:tcPr>
            <w:tcW w:w="113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na obszarach wiejskich</w:t>
            </w:r>
          </w:p>
        </w:tc>
        <w:tc>
          <w:tcPr>
            <w:tcW w:w="113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w miastach</w:t>
            </w:r>
          </w:p>
        </w:tc>
        <w:tc>
          <w:tcPr>
            <w:tcW w:w="1135"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na obszarach wiejskich</w:t>
            </w:r>
          </w:p>
        </w:tc>
        <w:tc>
          <w:tcPr>
            <w:tcW w:w="85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ogółem</w:t>
            </w:r>
          </w:p>
        </w:tc>
        <w:tc>
          <w:tcPr>
            <w:tcW w:w="99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w miastach</w:t>
            </w:r>
          </w:p>
        </w:tc>
        <w:tc>
          <w:tcPr>
            <w:tcW w:w="113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na obszarach wiejskich</w:t>
            </w:r>
          </w:p>
        </w:tc>
      </w:tr>
      <w:tr>
        <w:trPr>
          <w:trHeight w:val="299" w:hRule="atLeast"/>
        </w:trPr>
        <w:tc>
          <w:tcPr>
            <w:tcW w:w="1686" w:type="dxa"/>
            <w:gridSpan w:val="2"/>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MOF Włocławka</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2 916</w:t>
            </w:r>
          </w:p>
        </w:tc>
        <w:tc>
          <w:tcPr>
            <w:tcW w:w="113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1 688</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sz w:val="18"/>
                <w:szCs w:val="18"/>
                <w:lang w:eastAsia="pl-PL"/>
              </w:rPr>
            </w:pPr>
            <w:r>
              <w:rPr>
                <w:rFonts w:eastAsia="Times New Roman" w:cs="Calibri" w:cstheme="minorHAnsi"/>
                <w:sz w:val="18"/>
                <w:szCs w:val="18"/>
                <w:lang w:eastAsia="pl-PL"/>
              </w:rPr>
              <w:t>476</w:t>
            </w:r>
          </w:p>
        </w:tc>
        <w:tc>
          <w:tcPr>
            <w:tcW w:w="113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eastAsia="Times New Roman" w:cs="Calibri" w:cstheme="minorHAnsi"/>
                <w:sz w:val="18"/>
                <w:szCs w:val="18"/>
                <w:lang w:eastAsia="pl-PL"/>
              </w:rPr>
            </w:pPr>
            <w:r>
              <w:rPr>
                <w:rFonts w:eastAsia="Times New Roman" w:cs="Calibri" w:cstheme="minorHAnsi"/>
                <w:sz w:val="18"/>
                <w:szCs w:val="18"/>
                <w:lang w:eastAsia="pl-PL"/>
              </w:rPr>
              <w:t>45</w:t>
            </w:r>
          </w:p>
        </w:tc>
        <w:tc>
          <w:tcPr>
            <w:tcW w:w="8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11,3</w:t>
            </w:r>
          </w:p>
        </w:tc>
        <w:tc>
          <w:tcPr>
            <w:tcW w:w="99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16,3</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2,7</w:t>
            </w:r>
          </w:p>
        </w:tc>
      </w:tr>
      <w:tr>
        <w:trPr>
          <w:trHeight w:val="299" w:hRule="atLeast"/>
        </w:trPr>
        <w:tc>
          <w:tcPr>
            <w:tcW w:w="411"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vAlign w:val="center"/>
          </w:tcPr>
          <w:p>
            <w:pPr>
              <w:pStyle w:val="Normal"/>
              <w:widowControl w:val="false"/>
              <w:spacing w:lineRule="auto" w:line="240" w:before="40" w:after="40"/>
              <w:ind w:left="113" w:right="113" w:hanging="0"/>
              <w:jc w:val="center"/>
              <w:rPr>
                <w:rFonts w:cs="Calibri" w:cstheme="minorHAnsi"/>
                <w:b/>
                <w:bCs/>
                <w:sz w:val="18"/>
                <w:szCs w:val="18"/>
              </w:rPr>
            </w:pPr>
            <w:r>
              <w:rPr>
                <w:rFonts w:cs="Calibri" w:cstheme="minorHAnsi"/>
                <w:b/>
                <w:bCs/>
                <w:sz w:val="18"/>
                <w:szCs w:val="18"/>
              </w:rPr>
              <w:t>Gminy</w:t>
            </w:r>
          </w:p>
        </w:tc>
        <w:tc>
          <w:tcPr>
            <w:tcW w:w="127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Baruchowo</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74</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Boniewo</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3"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90</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Brześć Kujawski</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119</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164</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20</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7,1</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12,2</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Choceń</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3"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184</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25</w:t>
            </w:r>
          </w:p>
        </w:tc>
        <w:tc>
          <w:tcPr>
            <w:tcW w:w="85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13,6</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13,6</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Chodecz</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47</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112</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15</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9,4</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31,9</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Fabianki</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3"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260</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Izbica Kujawska</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65</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149</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(miejska)</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75</w:t>
            </w:r>
          </w:p>
        </w:tc>
        <w:tc>
          <w:tcPr>
            <w:tcW w:w="1133"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13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85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(wiejska)</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91</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Lubanie</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3"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119</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Lubień Kujawski</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40</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130</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30</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17,6</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75,0</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Lubraniec</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56</w:t>
            </w:r>
          </w:p>
        </w:tc>
        <w:tc>
          <w:tcPr>
            <w:tcW w:w="1133"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144</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15</w:t>
            </w:r>
          </w:p>
        </w:tc>
        <w:tc>
          <w:tcPr>
            <w:tcW w:w="113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7,5</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26,8</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Włocławek (miejska)</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2 514</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416</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16,5</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16,5</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27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Włocławek (wiejska)</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3"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171</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5"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85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c>
          <w:tcPr>
            <w:tcW w:w="99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w:t>
            </w:r>
          </w:p>
        </w:tc>
        <w:tc>
          <w:tcPr>
            <w:tcW w:w="1134"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0,0</w:t>
            </w:r>
          </w:p>
        </w:tc>
      </w:tr>
      <w:tr>
        <w:trPr>
          <w:trHeight w:val="299" w:hRule="atLeast"/>
        </w:trPr>
        <w:tc>
          <w:tcPr>
            <w:tcW w:w="1686"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Województwo</w:t>
            </w:r>
          </w:p>
          <w:p>
            <w:pPr>
              <w:pStyle w:val="Normal"/>
              <w:widowControl w:val="false"/>
              <w:spacing w:lineRule="auto" w:line="240" w:before="40" w:after="40"/>
              <w:rPr>
                <w:rFonts w:cs="Calibri" w:cstheme="minorHAnsi"/>
                <w:b/>
                <w:bCs/>
                <w:sz w:val="18"/>
                <w:szCs w:val="18"/>
              </w:rPr>
            </w:pPr>
            <w:r>
              <w:rPr>
                <w:rFonts w:eastAsia="Times New Roman" w:cs="Calibri" w:cstheme="minorHAnsi"/>
                <w:b/>
                <w:bCs/>
                <w:sz w:val="18"/>
                <w:szCs w:val="18"/>
                <w:lang w:eastAsia="pl-PL"/>
              </w:rPr>
              <w:t>kujawsko-pomorskie</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31 841</w:t>
            </w:r>
          </w:p>
        </w:tc>
        <w:tc>
          <w:tcPr>
            <w:tcW w:w="113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24 772</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5 344</w:t>
            </w:r>
          </w:p>
        </w:tc>
        <w:tc>
          <w:tcPr>
            <w:tcW w:w="113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869</w:t>
            </w:r>
          </w:p>
        </w:tc>
        <w:tc>
          <w:tcPr>
            <w:tcW w:w="8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11,0</w:t>
            </w:r>
          </w:p>
        </w:tc>
        <w:tc>
          <w:tcPr>
            <w:tcW w:w="9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16,8</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3,5</w:t>
            </w:r>
          </w:p>
        </w:tc>
      </w:tr>
    </w:tbl>
    <w:p>
      <w:pPr>
        <w:pStyle w:val="RdoTABEL"/>
        <w:rPr/>
      </w:pPr>
      <w:r>
        <w:rPr/>
        <w:t>Źródło: Opracowanie KPBPPiR o. Bydgoszcz na podstawie BDL GUS</w:t>
      </w:r>
    </w:p>
    <w:p>
      <w:pPr>
        <w:pStyle w:val="Normal"/>
        <w:rPr/>
      </w:pPr>
      <w:r>
        <w:rPr/>
      </w:r>
    </w:p>
    <w:p>
      <w:pPr>
        <w:pStyle w:val="2poziom"/>
        <w:numPr>
          <w:ilvl w:val="0"/>
          <w:numId w:val="0"/>
        </w:numPr>
        <w:tabs>
          <w:tab w:val="clear" w:pos="680"/>
          <w:tab w:val="left" w:pos="1134" w:leader="none"/>
        </w:tabs>
        <w:ind w:left="1276" w:hanging="992"/>
        <w:rPr/>
      </w:pPr>
      <w:bookmarkStart w:id="77" w:name="_Toc143161902"/>
      <w:r>
        <w:rPr/>
        <w:t xml:space="preserve">2.11. Wychowanie przedszkolne </w:t>
      </w:r>
      <w:bookmarkStart w:id="78" w:name="_Hlk134095607"/>
      <w:r>
        <w:rPr/>
        <w:t>(w tym identyfikacja gmin spełniających warunek dostępowy wsparcia w zakresie infrastruktury wychowania przedszkolnego)</w:t>
      </w:r>
      <w:bookmarkEnd w:id="77"/>
      <w:bookmarkEnd w:id="78"/>
    </w:p>
    <w:p>
      <w:pPr>
        <w:pStyle w:val="Normal"/>
        <w:spacing w:lineRule="auto" w:line="276"/>
        <w:jc w:val="both"/>
        <w:rPr/>
      </w:pPr>
      <w:r>
        <w:rPr/>
        <w:t>Wychowanie przedszkolne stanowi przygotowanie do dalszych etapów edukacji, umożliwiając dziecku zdobycie niezbędnych kompetencji. Wpływa m.in. na kształtowanie odpowiednich postaw i nawyków, umiejętności funkcjonowania w grupie, wzmacnianie poczucia wartości czy pobudzenie aktywności</w:t>
        <w:br/>
        <w:t xml:space="preserve"> i ciekawości świata. Odgrywa tym samym bardzo istotną rolę w procesie poznawczego, emocjonalnego i społecznego rozwoju dziecka. W związku z tym konieczne jest zapewnienie wysokiego poziomu oferty placówek wychowania przedszkolnego i warunków wychowawczo-opiekuńczych</w:t>
        <w:br/>
        <w:t xml:space="preserve"> w odpowiednio przygotowanej i wyposażonej bazie lokalowej. </w:t>
      </w:r>
    </w:p>
    <w:p>
      <w:pPr>
        <w:pStyle w:val="Normal"/>
        <w:spacing w:lineRule="auto" w:line="276"/>
        <w:jc w:val="both"/>
        <w:rPr/>
      </w:pPr>
      <w:r>
        <w:rPr/>
        <w:t>W 2019 r. wychowaniem przedszkolnym na terenie MOF Włocławka objętych było 3 860 dzieci w wieku od 3 do 5 lat (z czego 58,8% to dzieci objęte wychowaniem przedszkolnym w gminie miejskiej Włocławek). Udział dzieci w wieku 3-5 lat objętych wychowaniem przedszkolnym dla całego obszaru w 2020 r. wynosił 78,9%. Wartość wskaźnika dla analizowanego MOF utrzymuje się stale na poziomie niższym niż średnia dla całego regionu (w 2020 r. wynosząca 80,1%), a jego zmiana w latach 2010-2020 cechowała się przeciętnej wartości wzrostem.</w:t>
      </w:r>
    </w:p>
    <w:p>
      <w:pPr>
        <w:pStyle w:val="Normal"/>
        <w:spacing w:lineRule="auto" w:line="276"/>
        <w:jc w:val="both"/>
        <w:rPr/>
      </w:pPr>
      <w:r>
        <w:rPr/>
        <w:t xml:space="preserve">Na obszarze MOF Włocławka w 2020 r. występowało duże zróżnicowanie wartości udziału dzieci </w:t>
        <w:br/>
        <w:t xml:space="preserve">w wieku 3-5 lat objętych wychowaniem przedszkolnym – od 98,9% w gminie wiejskiej Kowal </w:t>
        <w:br/>
        <w:t>(7. najwyższa wartość w województwie) do zaledwie 34,7% w gminie Izbica Kujawska (3. najniższa wartość w regionie). W 5 gminach wartość wskaźnika kształtowała się na poziomie wyższym niż średnia dla województwa – poza gminą wiejską Kowal w gminach wiejskiej i miejskiej Włocławek oraz</w:t>
        <w:br/>
        <w:t xml:space="preserve"> w gminach Brześć Kujawski i Lubraniec. W pozostałych 9 gminach udział dzieci objętych wychowaniem przedszkolnym osiągał wartości z przedziału od 55,4% w gminie Boniewo do 73,9% w gminie Choceń.</w:t>
      </w:r>
    </w:p>
    <w:p>
      <w:pPr>
        <w:pStyle w:val="Normal"/>
        <w:spacing w:lineRule="auto" w:line="276" w:before="0" w:after="0"/>
        <w:jc w:val="both"/>
        <w:rPr>
          <w:rFonts w:eastAsia="Times New Roman"/>
          <w:color w:val="000000"/>
        </w:rPr>
      </w:pPr>
      <w:r>
        <w:rPr>
          <w:rFonts w:cs="Calibri" w:cstheme="minorHAnsi"/>
        </w:rPr>
        <w:t xml:space="preserve">W dokumencie </w:t>
      </w:r>
      <w:r>
        <w:rPr>
          <w:rFonts w:cs="Calibri" w:cstheme="minorHAnsi"/>
          <w:i/>
          <w:iCs/>
        </w:rPr>
        <w:t>Polityka Terytorialna Województwa Kujawsko-Pomorskiego</w:t>
      </w:r>
      <w:r>
        <w:rPr>
          <w:rFonts w:cs="Calibri" w:cstheme="minorHAnsi"/>
        </w:rPr>
        <w:t xml:space="preserve"> </w:t>
      </w:r>
      <w:r>
        <w:rPr/>
        <w:t>określono, że inwestycje</w:t>
        <w:br/>
        <w:t xml:space="preserve"> w zakresie infrastruktury przedszkolnej będą realizowane wyłącznie na obszarach gmin o udziale dzieci objętych wychowaniem przedszkolnym w liczbie dzieci w wieku 3-5 lat poniżej 85% średniej </w:t>
        <w:br/>
        <w:t xml:space="preserve">dla województwa. Zgodnie z Aneksem 4. do dokumentu </w:t>
      </w:r>
      <w:r>
        <w:rPr>
          <w:i/>
          <w:iCs/>
        </w:rPr>
        <w:t>Wychowanie przedszkolne w województwie kujawsko-pomorskim w roku 2020 z uwzględnieniem wykorzystania środków UE</w:t>
      </w:r>
      <w:r>
        <w:rPr/>
        <w:t xml:space="preserve">, opracowanym przez Departament Funduszy Europejskich UMWK-P w 2020 r. warunek ten spełniały 4 gminy z obszaru MOF – Boniewo, Chodecz, Fabianki, Izbica Kujawska. </w:t>
      </w:r>
      <w:bookmarkStart w:id="79" w:name="_Hlk127269843"/>
      <w:r>
        <w:rPr>
          <w:rFonts w:eastAsia="Times New Roman"/>
          <w:color w:val="000000"/>
        </w:rPr>
        <w:t>W poniższej tabeli, zawierającej wartości wskaźnika</w:t>
      </w:r>
    </w:p>
    <w:p>
      <w:pPr>
        <w:pStyle w:val="Normal"/>
        <w:spacing w:lineRule="auto" w:line="276" w:before="0" w:after="0"/>
        <w:jc w:val="both"/>
        <w:rPr>
          <w:rFonts w:eastAsia="Times New Roman"/>
          <w:color w:val="000000"/>
        </w:rPr>
      </w:pPr>
      <w:r>
        <w:rPr>
          <w:rFonts w:eastAsia="Times New Roman"/>
          <w:color w:val="000000"/>
        </w:rPr>
        <w:t xml:space="preserve"> </w:t>
      </w:r>
      <w:r>
        <w:rPr>
          <w:rFonts w:eastAsia="Times New Roman"/>
          <w:color w:val="000000"/>
        </w:rPr>
        <w:t>dla poszczególnych gmin, kolorem czerwonym zaznaczono wartości, które spełniają to kryterium.</w:t>
      </w:r>
      <w:bookmarkEnd w:id="79"/>
    </w:p>
    <w:p>
      <w:pPr>
        <w:pStyle w:val="Normal"/>
        <w:spacing w:lineRule="auto" w:line="276" w:before="0" w:after="0"/>
        <w:jc w:val="both"/>
        <w:rPr/>
      </w:pPr>
      <w:r>
        <w:rPr/>
      </w:r>
    </w:p>
    <w:p>
      <w:pPr>
        <w:pStyle w:val="TytuMAPiTABEL"/>
        <w:rPr>
          <w:lang w:eastAsia="pl-PL"/>
        </w:rPr>
      </w:pPr>
      <w:r>
        <w:rPr/>
        <w:t xml:space="preserve">Tabela 8. </w:t>
      </w:r>
      <w:r>
        <w:rPr>
          <w:lang w:eastAsia="pl-PL"/>
        </w:rPr>
        <w:t xml:space="preserve">Dzieci objęte wychowaniem przedszkolnym na terenie MOF Włocławka w 2020 r. </w:t>
      </w:r>
      <w:bookmarkStart w:id="80" w:name="_Hlk127269852"/>
      <w:r>
        <w:rPr>
          <w:lang w:eastAsia="pl-PL"/>
        </w:rPr>
        <w:t>(kolorem czerwonym zaznaczono wartości wskaźnika kształtujące się poniżej 85% średniej wojewódzkiej)</w:t>
      </w:r>
      <w:bookmarkEnd w:id="80"/>
    </w:p>
    <w:tbl>
      <w:tblPr>
        <w:tblW w:w="9057"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11"/>
        <w:gridCol w:w="1701"/>
        <w:gridCol w:w="1842"/>
        <w:gridCol w:w="2551"/>
        <w:gridCol w:w="2552"/>
      </w:tblGrid>
      <w:tr>
        <w:trPr>
          <w:trHeight w:val="684" w:hRule="atLeast"/>
        </w:trPr>
        <w:tc>
          <w:tcPr>
            <w:tcW w:w="2112"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184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Liczba dzieci w wieku 3-5 lat</w:t>
            </w:r>
          </w:p>
        </w:tc>
        <w:tc>
          <w:tcPr>
            <w:tcW w:w="255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Liczba dzieci objętych wychowaniem przedszkolnym</w:t>
            </w:r>
          </w:p>
        </w:tc>
        <w:tc>
          <w:tcPr>
            <w:tcW w:w="255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Udział dzieci objętych wychowaniem przedszkolnym w liczbie dzieci w wieku  3 – 5 lat (%)</w:t>
            </w:r>
          </w:p>
        </w:tc>
      </w:tr>
      <w:tr>
        <w:trPr>
          <w:trHeight w:val="299" w:hRule="atLeast"/>
        </w:trPr>
        <w:tc>
          <w:tcPr>
            <w:tcW w:w="2112" w:type="dxa"/>
            <w:gridSpan w:val="2"/>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MOF Włocławka</w:t>
            </w:r>
          </w:p>
        </w:tc>
        <w:tc>
          <w:tcPr>
            <w:tcW w:w="184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4 892</w:t>
            </w:r>
          </w:p>
        </w:tc>
        <w:tc>
          <w:tcPr>
            <w:tcW w:w="255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3 860</w:t>
            </w:r>
          </w:p>
        </w:tc>
        <w:tc>
          <w:tcPr>
            <w:tcW w:w="255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78,9</w:t>
            </w:r>
          </w:p>
        </w:tc>
      </w:tr>
      <w:tr>
        <w:trPr>
          <w:trHeight w:val="299" w:hRule="atLeast"/>
        </w:trPr>
        <w:tc>
          <w:tcPr>
            <w:tcW w:w="411"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vAlign w:val="center"/>
          </w:tcPr>
          <w:p>
            <w:pPr>
              <w:pStyle w:val="Normal"/>
              <w:widowControl w:val="false"/>
              <w:spacing w:lineRule="auto" w:line="240" w:before="40" w:after="40"/>
              <w:ind w:left="113" w:right="113" w:hanging="0"/>
              <w:jc w:val="center"/>
              <w:rPr>
                <w:rFonts w:cs="Calibri" w:cstheme="minorHAnsi"/>
                <w:b/>
                <w:bCs/>
                <w:sz w:val="18"/>
                <w:szCs w:val="18"/>
              </w:rPr>
            </w:pPr>
            <w:r>
              <w:rPr>
                <w:rFonts w:cs="Calibri" w:cstheme="minorHAnsi"/>
                <w:b/>
                <w:bCs/>
                <w:sz w:val="18"/>
                <w:szCs w:val="18"/>
              </w:rPr>
              <w:t>Gminy</w:t>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Baruchowo</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87</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60</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69,0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Boniewo</w:t>
            </w:r>
          </w:p>
        </w:tc>
        <w:tc>
          <w:tcPr>
            <w:tcW w:w="184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65</w:t>
            </w:r>
          </w:p>
        </w:tc>
        <w:tc>
          <w:tcPr>
            <w:tcW w:w="25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36</w:t>
            </w:r>
          </w:p>
        </w:tc>
        <w:tc>
          <w:tcPr>
            <w:tcW w:w="25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color w:val="000000" w:themeColor="text1"/>
                <w:sz w:val="18"/>
                <w:szCs w:val="18"/>
              </w:rPr>
            </w:pPr>
            <w:r>
              <w:rPr>
                <w:rFonts w:cs="Calibri" w:cstheme="minorHAnsi"/>
                <w:color w:val="000000" w:themeColor="text1"/>
                <w:sz w:val="18"/>
                <w:szCs w:val="18"/>
              </w:rPr>
              <w:t>55,4</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Brześć Kujawski</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280</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232</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color w:val="000000" w:themeColor="text1"/>
                <w:sz w:val="18"/>
                <w:szCs w:val="18"/>
              </w:rPr>
            </w:pPr>
            <w:r>
              <w:rPr>
                <w:rFonts w:cs="Calibri" w:cstheme="minorHAnsi"/>
                <w:color w:val="000000" w:themeColor="text1"/>
                <w:sz w:val="18"/>
                <w:szCs w:val="18"/>
              </w:rPr>
              <w:t>82,9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Choceń</w:t>
            </w:r>
          </w:p>
        </w:tc>
        <w:tc>
          <w:tcPr>
            <w:tcW w:w="184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199</w:t>
            </w:r>
          </w:p>
        </w:tc>
        <w:tc>
          <w:tcPr>
            <w:tcW w:w="25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147</w:t>
            </w:r>
          </w:p>
        </w:tc>
        <w:tc>
          <w:tcPr>
            <w:tcW w:w="25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color w:val="000000" w:themeColor="text1"/>
                <w:sz w:val="18"/>
                <w:szCs w:val="18"/>
              </w:rPr>
            </w:pPr>
            <w:r>
              <w:rPr>
                <w:rFonts w:cs="Calibri" w:cstheme="minorHAnsi"/>
                <w:color w:val="000000" w:themeColor="text1"/>
                <w:sz w:val="18"/>
                <w:szCs w:val="18"/>
              </w:rPr>
              <w:t>73,9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Chodecz</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188</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112</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color w:val="000000" w:themeColor="text1"/>
                <w:sz w:val="18"/>
                <w:szCs w:val="18"/>
              </w:rPr>
            </w:pPr>
            <w:r>
              <w:rPr>
                <w:rFonts w:cs="Calibri" w:cstheme="minorHAnsi"/>
                <w:color w:val="000000" w:themeColor="text1"/>
                <w:sz w:val="18"/>
                <w:szCs w:val="18"/>
              </w:rPr>
              <w:t>59,6</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Fabianki</w:t>
            </w:r>
          </w:p>
        </w:tc>
        <w:tc>
          <w:tcPr>
            <w:tcW w:w="184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271</w:t>
            </w:r>
          </w:p>
        </w:tc>
        <w:tc>
          <w:tcPr>
            <w:tcW w:w="25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163</w:t>
            </w:r>
          </w:p>
        </w:tc>
        <w:tc>
          <w:tcPr>
            <w:tcW w:w="25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color w:val="000000" w:themeColor="text1"/>
                <w:sz w:val="18"/>
                <w:szCs w:val="18"/>
              </w:rPr>
            </w:pPr>
            <w:r>
              <w:rPr>
                <w:rFonts w:cs="Calibri" w:cstheme="minorHAnsi"/>
                <w:color w:val="000000" w:themeColor="text1"/>
                <w:sz w:val="18"/>
                <w:szCs w:val="18"/>
              </w:rPr>
              <w:t>60,1</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Izbica Kujawska</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196</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68</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color w:val="000000" w:themeColor="text1"/>
                <w:sz w:val="18"/>
                <w:szCs w:val="18"/>
              </w:rPr>
            </w:pPr>
            <w:r>
              <w:rPr>
                <w:rFonts w:cs="Calibri" w:cstheme="minorHAnsi"/>
                <w:color w:val="000000" w:themeColor="text1"/>
                <w:sz w:val="18"/>
                <w:szCs w:val="18"/>
              </w:rPr>
              <w:t>34,7</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(miejska)</w:t>
            </w:r>
          </w:p>
        </w:tc>
        <w:tc>
          <w:tcPr>
            <w:tcW w:w="184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101</w:t>
            </w:r>
          </w:p>
        </w:tc>
        <w:tc>
          <w:tcPr>
            <w:tcW w:w="25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72</w:t>
            </w:r>
          </w:p>
        </w:tc>
        <w:tc>
          <w:tcPr>
            <w:tcW w:w="25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71,3</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(wiejska)</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92</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91</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98,9</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Lubanie</w:t>
            </w:r>
          </w:p>
        </w:tc>
        <w:tc>
          <w:tcPr>
            <w:tcW w:w="184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116</w:t>
            </w:r>
          </w:p>
        </w:tc>
        <w:tc>
          <w:tcPr>
            <w:tcW w:w="25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85</w:t>
            </w:r>
          </w:p>
        </w:tc>
        <w:tc>
          <w:tcPr>
            <w:tcW w:w="25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73,3</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Lubień Kujawski</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202</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139</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68,8</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Lubraniec</w:t>
            </w:r>
          </w:p>
        </w:tc>
        <w:tc>
          <w:tcPr>
            <w:tcW w:w="184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263</w:t>
            </w:r>
          </w:p>
        </w:tc>
        <w:tc>
          <w:tcPr>
            <w:tcW w:w="25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211</w:t>
            </w:r>
          </w:p>
        </w:tc>
        <w:tc>
          <w:tcPr>
            <w:tcW w:w="25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80,2</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Włocławek (miejska)</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2637</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2271</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86,1</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7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Włocławek (wiejska)</w:t>
            </w:r>
          </w:p>
        </w:tc>
        <w:tc>
          <w:tcPr>
            <w:tcW w:w="184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195</w:t>
            </w:r>
          </w:p>
        </w:tc>
        <w:tc>
          <w:tcPr>
            <w:tcW w:w="255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173</w:t>
            </w:r>
          </w:p>
        </w:tc>
        <w:tc>
          <w:tcPr>
            <w:tcW w:w="25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88,7</w:t>
            </w:r>
          </w:p>
        </w:tc>
      </w:tr>
      <w:tr>
        <w:trPr>
          <w:trHeight w:val="299" w:hRule="atLeast"/>
        </w:trPr>
        <w:tc>
          <w:tcPr>
            <w:tcW w:w="2112"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eastAsia="Times New Roman" w:cs="Calibri" w:cstheme="minorHAnsi"/>
                <w:b/>
                <w:bCs/>
                <w:sz w:val="18"/>
                <w:szCs w:val="18"/>
                <w:lang w:eastAsia="pl-PL"/>
              </w:rPr>
              <w:t>Województwo</w:t>
            </w:r>
          </w:p>
          <w:p>
            <w:pPr>
              <w:pStyle w:val="Normal"/>
              <w:widowControl w:val="false"/>
              <w:spacing w:lineRule="auto" w:line="240" w:before="40" w:after="40"/>
              <w:rPr>
                <w:rFonts w:cs="Calibri" w:cstheme="minorHAnsi"/>
                <w:b/>
                <w:bCs/>
                <w:sz w:val="18"/>
                <w:szCs w:val="18"/>
              </w:rPr>
            </w:pPr>
            <w:r>
              <w:rPr>
                <w:rFonts w:eastAsia="Times New Roman" w:cs="Calibri" w:cstheme="minorHAnsi"/>
                <w:b/>
                <w:bCs/>
                <w:sz w:val="18"/>
                <w:szCs w:val="18"/>
                <w:lang w:eastAsia="pl-PL"/>
              </w:rPr>
              <w:t>kujawsko-pomorskie</w:t>
            </w:r>
          </w:p>
        </w:tc>
        <w:tc>
          <w:tcPr>
            <w:tcW w:w="184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59 900</w:t>
            </w:r>
          </w:p>
        </w:tc>
        <w:tc>
          <w:tcPr>
            <w:tcW w:w="255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47 994</w:t>
            </w:r>
          </w:p>
        </w:tc>
        <w:tc>
          <w:tcPr>
            <w:tcW w:w="25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80,1</w:t>
            </w:r>
          </w:p>
        </w:tc>
      </w:tr>
    </w:tbl>
    <w:p>
      <w:pPr>
        <w:pStyle w:val="RdoTABEL"/>
        <w:rPr>
          <w:b/>
          <w:bCs/>
        </w:rPr>
      </w:pPr>
      <w:r>
        <w:rPr/>
        <w:t>Źródło: Opracowanie KPBPPiR o. Bydgoszcz na podstawie BDL GUS</w:t>
      </w:r>
    </w:p>
    <w:p>
      <w:pPr>
        <w:pStyle w:val="Normal"/>
        <w:rPr/>
      </w:pPr>
      <w:r>
        <w:rPr/>
      </w:r>
    </w:p>
    <w:p>
      <w:pPr>
        <w:pStyle w:val="Normal"/>
        <w:spacing w:lineRule="auto" w:line="276"/>
        <w:jc w:val="both"/>
        <w:rPr/>
      </w:pPr>
      <w:r>
        <w:rPr/>
        <w:t>Wg danych pochodzących z Rejestru Szkół i Placówek Oświatowych SIO</w:t>
      </w:r>
      <w:r>
        <w:rPr>
          <w:rStyle w:val="Zakotwiczenieprzypisudolnego"/>
          <w:rFonts w:cs="Calibri" w:cstheme="minorHAnsi"/>
          <w:iCs/>
          <w:szCs w:val="20"/>
        </w:rPr>
        <w:footnoteReference w:id="28"/>
      </w:r>
      <w:r>
        <w:rPr/>
        <w:t xml:space="preserve"> w 2022 r. na terenie analizowanego MOF działało 101 placówek wychowania przedszkolnego – 58 przedszkoli, 8 punktów przedszkolnych i 35 oddziałów przedszkolnych przy szkołach podstawowych. Większość z tych placówek to instytucje publiczne (67). Połowa z placówek funkcjonujących na tym obszarze znajdowała się w gminie miejskiej Włocławek (51 placówek). Poza miastem Włocławek największa liczba placówek występowała w gminach Brześć Kujawski i Fabianki (po 7 placówek). W pozostałych gminach działało od 1 (gminy Chodecz i miejska Kowal) do 6 placówek (gmina wiejska Włocławek). Na analizowanym obszarze placówki zlokalizowane były w 37 miejscowościach, z czego na obszarach wiejskich poza miejscowościami będącymi siedzibami gmin w 25 miejscowościach (działały tam łącznie 32 placówki).</w:t>
      </w:r>
    </w:p>
    <w:p>
      <w:pPr>
        <w:pStyle w:val="TytuMAPiTABEL"/>
        <w:rPr>
          <w:lang w:eastAsia="pl-PL"/>
        </w:rPr>
      </w:pPr>
      <w:r>
        <w:rPr/>
        <w:t>Tabela 9. Liczba p</w:t>
      </w:r>
      <w:r>
        <w:rPr>
          <w:lang w:eastAsia="pl-PL"/>
        </w:rPr>
        <w:t>lacówek wychowania przedszkolnego na terenie MOF Włocławka w 2022 r.</w:t>
      </w:r>
    </w:p>
    <w:tbl>
      <w:tblPr>
        <w:tblW w:w="9057"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11"/>
        <w:gridCol w:w="1983"/>
        <w:gridCol w:w="852"/>
        <w:gridCol w:w="1076"/>
        <w:gridCol w:w="1134"/>
        <w:gridCol w:w="1985"/>
        <w:gridCol w:w="1615"/>
      </w:tblGrid>
      <w:tr>
        <w:trPr>
          <w:trHeight w:val="254" w:hRule="atLeast"/>
        </w:trPr>
        <w:tc>
          <w:tcPr>
            <w:tcW w:w="2394"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852" w:type="dxa"/>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bCs/>
                <w:color w:val="FFFFFF" w:themeColor="background1"/>
                <w:sz w:val="18"/>
                <w:szCs w:val="18"/>
                <w:lang w:eastAsia="pl-PL"/>
              </w:rPr>
            </w:pPr>
            <w:r>
              <w:rPr>
                <w:rFonts w:cs="Calibri" w:cstheme="minorHAnsi"/>
                <w:b/>
                <w:bCs/>
                <w:color w:val="FFFFFF" w:themeColor="background1"/>
                <w:sz w:val="18"/>
                <w:szCs w:val="18"/>
              </w:rPr>
              <w:t>Ogółem</w:t>
            </w:r>
          </w:p>
        </w:tc>
        <w:tc>
          <w:tcPr>
            <w:tcW w:w="5810"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w tym:</w:t>
            </w:r>
          </w:p>
        </w:tc>
      </w:tr>
      <w:tr>
        <w:trPr>
          <w:trHeight w:val="684" w:hRule="atLeast"/>
        </w:trPr>
        <w:tc>
          <w:tcPr>
            <w:tcW w:w="2394"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852" w:type="dxa"/>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r>
          </w:p>
        </w:tc>
        <w:tc>
          <w:tcPr>
            <w:tcW w:w="1076"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przedszkole</w:t>
            </w:r>
          </w:p>
        </w:tc>
        <w:tc>
          <w:tcPr>
            <w:tcW w:w="113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punkt przedszkolny</w:t>
            </w:r>
          </w:p>
        </w:tc>
        <w:tc>
          <w:tcPr>
            <w:tcW w:w="1985"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oddział przedszkolny przy szkole podstawowej</w:t>
            </w:r>
          </w:p>
        </w:tc>
        <w:tc>
          <w:tcPr>
            <w:tcW w:w="1615"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cs="Calibri" w:cstheme="minorHAnsi"/>
                <w:b/>
                <w:bCs/>
                <w:color w:val="FFFFFF" w:themeColor="background1"/>
                <w:sz w:val="18"/>
                <w:szCs w:val="18"/>
              </w:rPr>
            </w:pPr>
            <w:r>
              <w:rPr>
                <w:rFonts w:cs="Calibri" w:cstheme="minorHAnsi"/>
                <w:b/>
                <w:bCs/>
                <w:color w:val="FFFFFF" w:themeColor="background1"/>
                <w:sz w:val="18"/>
                <w:szCs w:val="18"/>
              </w:rPr>
              <w:t>zespół wychowania przedszkolnego</w:t>
            </w:r>
          </w:p>
        </w:tc>
      </w:tr>
      <w:tr>
        <w:trPr>
          <w:trHeight w:val="299" w:hRule="atLeast"/>
        </w:trPr>
        <w:tc>
          <w:tcPr>
            <w:tcW w:w="2394" w:type="dxa"/>
            <w:gridSpan w:val="2"/>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MOF Włocławka</w:t>
            </w:r>
          </w:p>
        </w:tc>
        <w:tc>
          <w:tcPr>
            <w:tcW w:w="85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101</w:t>
            </w:r>
          </w:p>
        </w:tc>
        <w:tc>
          <w:tcPr>
            <w:tcW w:w="1076"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58</w:t>
            </w:r>
          </w:p>
        </w:tc>
        <w:tc>
          <w:tcPr>
            <w:tcW w:w="113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8</w:t>
            </w:r>
          </w:p>
        </w:tc>
        <w:tc>
          <w:tcPr>
            <w:tcW w:w="198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35</w:t>
            </w:r>
          </w:p>
        </w:tc>
        <w:tc>
          <w:tcPr>
            <w:tcW w:w="161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vAlign w:val="center"/>
          </w:tcPr>
          <w:p>
            <w:pPr>
              <w:pStyle w:val="Normal"/>
              <w:widowControl w:val="false"/>
              <w:spacing w:lineRule="auto" w:line="240" w:before="40" w:after="40"/>
              <w:ind w:left="113" w:right="113" w:hanging="0"/>
              <w:jc w:val="center"/>
              <w:rPr>
                <w:rFonts w:cs="Calibri" w:cstheme="minorHAnsi"/>
                <w:b/>
                <w:bCs/>
                <w:sz w:val="18"/>
                <w:szCs w:val="18"/>
              </w:rPr>
            </w:pPr>
            <w:r>
              <w:rPr>
                <w:rFonts w:cs="Calibri" w:cstheme="minorHAnsi"/>
                <w:b/>
                <w:bCs/>
                <w:sz w:val="18"/>
                <w:szCs w:val="18"/>
              </w:rPr>
              <w:t>Gminy</w:t>
            </w:r>
          </w:p>
        </w:tc>
        <w:tc>
          <w:tcPr>
            <w:tcW w:w="198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Baruchowo</w:t>
            </w:r>
          </w:p>
        </w:tc>
        <w:tc>
          <w:tcPr>
            <w:tcW w:w="8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076"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61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Boniewo</w:t>
            </w:r>
          </w:p>
        </w:tc>
        <w:tc>
          <w:tcPr>
            <w:tcW w:w="85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076"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13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61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Brześć Kujawski</w:t>
            </w:r>
          </w:p>
        </w:tc>
        <w:tc>
          <w:tcPr>
            <w:tcW w:w="8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w:t>
            </w:r>
          </w:p>
        </w:tc>
        <w:tc>
          <w:tcPr>
            <w:tcW w:w="1076"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98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w:t>
            </w:r>
          </w:p>
        </w:tc>
        <w:tc>
          <w:tcPr>
            <w:tcW w:w="161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Choceń</w:t>
            </w:r>
          </w:p>
        </w:tc>
        <w:tc>
          <w:tcPr>
            <w:tcW w:w="8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w:t>
            </w:r>
          </w:p>
        </w:tc>
        <w:tc>
          <w:tcPr>
            <w:tcW w:w="1076"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61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Chodecz</w:t>
            </w:r>
          </w:p>
        </w:tc>
        <w:tc>
          <w:tcPr>
            <w:tcW w:w="8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076"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61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Fabianki</w:t>
            </w:r>
          </w:p>
        </w:tc>
        <w:tc>
          <w:tcPr>
            <w:tcW w:w="8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7</w:t>
            </w:r>
          </w:p>
        </w:tc>
        <w:tc>
          <w:tcPr>
            <w:tcW w:w="1076"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w:t>
            </w:r>
          </w:p>
        </w:tc>
        <w:tc>
          <w:tcPr>
            <w:tcW w:w="1615"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Izbica Kujawska</w:t>
            </w:r>
          </w:p>
        </w:tc>
        <w:tc>
          <w:tcPr>
            <w:tcW w:w="8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w:t>
            </w:r>
          </w:p>
        </w:tc>
        <w:tc>
          <w:tcPr>
            <w:tcW w:w="1076"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61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(miejska)</w:t>
            </w:r>
          </w:p>
        </w:tc>
        <w:tc>
          <w:tcPr>
            <w:tcW w:w="8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076"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61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(wiejska)</w:t>
            </w:r>
          </w:p>
        </w:tc>
        <w:tc>
          <w:tcPr>
            <w:tcW w:w="8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w:t>
            </w:r>
          </w:p>
        </w:tc>
        <w:tc>
          <w:tcPr>
            <w:tcW w:w="1076"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61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Lubanie</w:t>
            </w:r>
          </w:p>
        </w:tc>
        <w:tc>
          <w:tcPr>
            <w:tcW w:w="8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076"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61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Lubień Kujawski</w:t>
            </w:r>
          </w:p>
        </w:tc>
        <w:tc>
          <w:tcPr>
            <w:tcW w:w="8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w:t>
            </w:r>
          </w:p>
        </w:tc>
        <w:tc>
          <w:tcPr>
            <w:tcW w:w="1076"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w:t>
            </w:r>
          </w:p>
        </w:tc>
        <w:tc>
          <w:tcPr>
            <w:tcW w:w="161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Lubraniec</w:t>
            </w:r>
          </w:p>
        </w:tc>
        <w:tc>
          <w:tcPr>
            <w:tcW w:w="8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w:t>
            </w:r>
          </w:p>
        </w:tc>
        <w:tc>
          <w:tcPr>
            <w:tcW w:w="1076"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98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w:t>
            </w:r>
          </w:p>
        </w:tc>
        <w:tc>
          <w:tcPr>
            <w:tcW w:w="161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Włocławek (miejska)</w:t>
            </w:r>
          </w:p>
        </w:tc>
        <w:tc>
          <w:tcPr>
            <w:tcW w:w="85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51</w:t>
            </w:r>
          </w:p>
        </w:tc>
        <w:tc>
          <w:tcPr>
            <w:tcW w:w="1076"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37</w:t>
            </w:r>
          </w:p>
        </w:tc>
        <w:tc>
          <w:tcPr>
            <w:tcW w:w="113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w:t>
            </w:r>
          </w:p>
        </w:tc>
        <w:tc>
          <w:tcPr>
            <w:tcW w:w="198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10</w:t>
            </w:r>
          </w:p>
        </w:tc>
        <w:tc>
          <w:tcPr>
            <w:tcW w:w="161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r>
        <w:trPr>
          <w:trHeight w:val="299" w:hRule="atLeast"/>
        </w:trPr>
        <w:tc>
          <w:tcPr>
            <w:tcW w:w="411"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right"/>
              <w:rPr>
                <w:rFonts w:cs="Calibri" w:cstheme="minorHAnsi"/>
                <w:b/>
                <w:bCs/>
                <w:sz w:val="18"/>
                <w:szCs w:val="18"/>
              </w:rPr>
            </w:pPr>
            <w:r>
              <w:rPr>
                <w:rFonts w:cs="Calibri" w:cstheme="minorHAnsi"/>
                <w:b/>
                <w:bCs/>
                <w:sz w:val="18"/>
                <w:szCs w:val="18"/>
              </w:rPr>
            </w:r>
          </w:p>
        </w:tc>
        <w:tc>
          <w:tcPr>
            <w:tcW w:w="198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Włocławek (wiejska)</w:t>
            </w:r>
          </w:p>
        </w:tc>
        <w:tc>
          <w:tcPr>
            <w:tcW w:w="85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6</w:t>
            </w:r>
          </w:p>
        </w:tc>
        <w:tc>
          <w:tcPr>
            <w:tcW w:w="1076"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c>
          <w:tcPr>
            <w:tcW w:w="113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2</w:t>
            </w:r>
          </w:p>
        </w:tc>
        <w:tc>
          <w:tcPr>
            <w:tcW w:w="198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4</w:t>
            </w:r>
          </w:p>
        </w:tc>
        <w:tc>
          <w:tcPr>
            <w:tcW w:w="161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0" w:after="0"/>
              <w:jc w:val="center"/>
              <w:rPr>
                <w:rFonts w:cs="Calibri" w:cstheme="minorHAnsi"/>
                <w:sz w:val="18"/>
                <w:szCs w:val="18"/>
              </w:rPr>
            </w:pPr>
            <w:r>
              <w:rPr>
                <w:rFonts w:cs="Calibri" w:cstheme="minorHAnsi"/>
                <w:sz w:val="18"/>
                <w:szCs w:val="18"/>
              </w:rPr>
              <w:t>0</w:t>
            </w:r>
          </w:p>
        </w:tc>
      </w:tr>
    </w:tbl>
    <w:p>
      <w:pPr>
        <w:pStyle w:val="RdoTABEL"/>
        <w:rPr/>
      </w:pPr>
      <w:r>
        <w:rPr/>
        <w:t>Źródło: Opracowanie KPBPPiR o. Bydgoszcz na podstawie Rejestru Szkół i Placówek Oświatowych SIO, dostęp z dnia 23.03.2022 r.</w:t>
      </w:r>
    </w:p>
    <w:p>
      <w:pPr>
        <w:pStyle w:val="Normal"/>
        <w:rPr/>
      </w:pPr>
      <w:r>
        <w:rPr/>
      </w:r>
    </w:p>
    <w:p>
      <w:pPr>
        <w:pStyle w:val="Normal"/>
        <w:spacing w:lineRule="auto" w:line="276"/>
        <w:jc w:val="both"/>
        <w:rPr/>
      </w:pPr>
      <w:r>
        <w:rPr/>
        <w:t xml:space="preserve">Na obszarze MOF występują potrzeby w zakresie rozwoju infrastruktury przedszkoli i jej wyposażenia, wynikające z aktualnych problemów lokalowych oraz niewystarczającej liczby miejsc w placówkach. Poprawy wymaga również jakość nauczania w istniejących miejscach wychowania przedszkolnego m.in. poprzez realizację zajęć dodatkowych (np. zajęcia terapeutyczne, warsztaty), rozwój edukacji kulturalnej, diagnozowanie indywidualnych potrzeb rozwojowych i edukacyjnych dzieci </w:t>
        <w:br/>
        <w:t xml:space="preserve">czy podnoszenie kompetencji wśród kadry pedagogicznej. Szczególnie istotną kwestią jest przystosowanie usług z zakresu wychowania przedszkolnego do dzieci ze specjalnymi potrzebami rozwojowymi (w tym m.in. dzieci z niepełnosprawnościami). </w:t>
      </w:r>
    </w:p>
    <w:p>
      <w:pPr>
        <w:pStyle w:val="Normal"/>
        <w:rPr/>
      </w:pPr>
      <w:r>
        <w:rPr/>
      </w:r>
    </w:p>
    <w:p>
      <w:pPr>
        <w:pStyle w:val="2poziom"/>
        <w:numPr>
          <w:ilvl w:val="0"/>
          <w:numId w:val="0"/>
        </w:numPr>
        <w:ind w:left="1019" w:hanging="736"/>
        <w:rPr/>
      </w:pPr>
      <w:bookmarkStart w:id="81" w:name="_Hlk119330783"/>
      <w:bookmarkStart w:id="82" w:name="_Toc143161903"/>
      <w:bookmarkEnd w:id="81"/>
      <w:r>
        <w:rPr/>
        <w:t xml:space="preserve">2.12. Kształcenie ogólne </w:t>
      </w:r>
      <w:bookmarkStart w:id="83" w:name="_Hlk134095657"/>
      <w:r>
        <w:rPr/>
        <w:t>(w tym identyfikacja gmin spełniających   warunek dostępowy wsparcia w zakresie infrastruktury edukacyjnej bazy sportowej)</w:t>
      </w:r>
      <w:bookmarkEnd w:id="82"/>
    </w:p>
    <w:p>
      <w:pPr>
        <w:pStyle w:val="Normal"/>
        <w:spacing w:lineRule="auto" w:line="276"/>
        <w:jc w:val="both"/>
        <w:rPr/>
      </w:pPr>
      <w:bookmarkStart w:id="84" w:name="_Hlk119330783"/>
      <w:bookmarkStart w:id="85" w:name="_Hlk119330805"/>
      <w:bookmarkEnd w:id="84"/>
      <w:bookmarkEnd w:id="83"/>
      <w:r>
        <w:rPr/>
        <w:t xml:space="preserve">W zakresie kształcenia ogólnego wyzwaniem pozostaje dążenie do osiągniecia wysokiej jakości nauczania, mierzonej wynikami egzaminów zewnętrznych. Braki utrudniające realizację wyzwania dostrzega się zarówno w sferze rozwoju kompetencji miękkich u uczniów, jak i w sferze niedostatecznego przygotowania kadr systemu oświaty. </w:t>
      </w:r>
    </w:p>
    <w:p>
      <w:pPr>
        <w:pStyle w:val="Normal"/>
        <w:spacing w:lineRule="auto" w:line="276"/>
        <w:jc w:val="both"/>
        <w:rPr/>
      </w:pPr>
      <w:r>
        <w:rPr/>
        <w:t>W dzisiejszym świecie w procesie kształcenia coraz większego znaczenia nabiera umiejętność wykorzystania nowoczesnych technologii, w tym cyfrowych, a więc poprawa kompetencji cyfrowych uczniów i kadr systemu oświaty oraz odpowiednie wyposażenie sprzętowe szkół i uczniów (zwłaszcza z grup defaworyzowanych), gdyż nadal dostrzegane są braki w tym zakresie. Niewystarczające umiejętności uczniów i nauczycieli stanowią duży problem w przypadku konieczności rezygnacji</w:t>
        <w:br/>
        <w:t xml:space="preserve"> z tradycyjnych metod nauczania na rzecz prowadzenia zajęć w sposób zdalny lub w systemie hybrydowym. Ważnym aspektem w procesie edukacji jest także podnoszenie kompetencji językowych uczniów, gdyż ciągle dostrzegalne są deficyty znajomości języka angielskiego wśród młodzieży, zwłaszcza wśród osób uczęszczających do szkół na terenach wiejskich, co wpływa negatywnie</w:t>
        <w:br/>
        <w:t xml:space="preserve"> na późniejsze możliwości podjęcia satysfakcjonującej pracy i ogranicza samorozwój. Istotną kwestię </w:t>
        <w:br/>
        <w:t>w sytuacji coraz częściej pojawiającego się niedoboru kadr w systemie oświaty stanowi podnoszenie</w:t>
        <w:br/>
        <w:t xml:space="preserve"> i uzupełnianie kompetencji i kwalifikacji nauczycieli. Wsparcie kadry obejmować powinno również zwiększenie umiejętności zapewnienia uczniom wsparcia pedagogiczno-psychologicznego, przygotowanie do pracy z uczniami o specjalnych potrzebach edukacyjnych oraz do pracy z uczniem zdolnym.</w:t>
      </w:r>
    </w:p>
    <w:p>
      <w:pPr>
        <w:pStyle w:val="Normal"/>
        <w:spacing w:lineRule="auto" w:line="276"/>
        <w:jc w:val="both"/>
        <w:rPr>
          <w:rFonts w:cs="Calibri" w:cstheme="minorHAnsi"/>
          <w:iCs/>
          <w:szCs w:val="20"/>
        </w:rPr>
      </w:pPr>
      <w:r>
        <w:rPr/>
        <w:t>Ważne jest, aby realizowane działania zmierzające do poprawy sytuacji prowadzone były przy jednoczesnym zapewnieniu równego dostępu (także infrastrukturalnego) do nowoczesnej edukacji wszystkim uczniom, gdyż w procesie edukacyjnym szczególnego wsparcia wymagają uczniowie</w:t>
        <w:br/>
        <w:t xml:space="preserve"> ze środowisk defaworyzowanych oraz uczniowie ze specjalnymi potrzebami edukacyjnymi. Bardzo istotne jest dalsze wprowadzanie edukacji włączającej zwłaszcza w przypadku dzieci </w:t>
        <w:br/>
        <w:t xml:space="preserve">z niepełnosprawnościami. Szkoła powinna pełnić kluczową rolę w zapobieganiu alienacji rówieśniczej poprzez dostosowanie infrastruktury i działania włączające, umożliwiając wspólną realizację zainteresowań, poszerzanie wiedzy, a zwłaszcza uczestnictwo w zajęciach sportowych i pozalekcyjnych wszystkich uczniów. Wpływa to na budowanie właściwych relacji i kompetencji społecznych, przyczyniając się do integracji uczniów. Dlatego wyzwaniem dla szkół ciągle jeszcze pozostaje zapewnienie atrakcyjnej infrastruktury sportowej i edukacyjnej, dostosowanej do potrzeb osób </w:t>
        <w:br/>
        <w:t>z niepełnosprawnościami.</w:t>
      </w:r>
      <w:r>
        <w:rPr>
          <w:rFonts w:cs="Calibri" w:cstheme="minorHAnsi"/>
          <w:iCs/>
          <w:szCs w:val="20"/>
        </w:rPr>
        <w:t xml:space="preserve"> </w:t>
      </w:r>
    </w:p>
    <w:p>
      <w:pPr>
        <w:pStyle w:val="Normal"/>
        <w:spacing w:lineRule="auto" w:line="276"/>
        <w:jc w:val="both"/>
        <w:rPr>
          <w:rFonts w:cs="Calibri" w:cstheme="minorHAnsi"/>
          <w:iCs/>
          <w:szCs w:val="20"/>
        </w:rPr>
      </w:pPr>
      <w:bookmarkStart w:id="86" w:name="_Hlk119330805"/>
      <w:r>
        <w:rPr>
          <w:rFonts w:cs="Calibri" w:cstheme="minorHAnsi"/>
          <w:iCs/>
          <w:szCs w:val="20"/>
        </w:rPr>
        <w:t xml:space="preserve">W 2022 roku przyjęta została „Diagnoza potrzeb przyszkolnej bazy sportowej w województwie kujawsko pomorskim”, stanowiąca Załącznik do Stanowiska Zarządu Województwa Kujawsko-Pomorskiego z dnia 27 kwietnia 2022 r. W dokumencie tym zawarto informacje o najważniejszych niedoborach występujących w gminach i powiatach regionu w zakresie przyszkolnej infrastruktury sportowej. Wynikiem analizy jest wskazanie tzw. „białych plam”, a więc gmin i powiatów cechujących się najgorszą w regionie sytuacją w zakresie dostępu do nowoczesnej przyszkolnej infrastruktury sportowej (co prowadzi do wykluczenia społecznego) oraz zidentyfikowanie zadań inwestycyjnych rekomendowanych do dofinansowania o charakterze priorytetowym, ukierunkowanych </w:t>
        <w:br/>
        <w:t>na zniwelowanie „białych plam”. Na terenie MOF Włocławka rekomenduje się dofinansowanie realizacji pierwszej pełnowymiarowej krytej pływalni/basenu w powiecie włocławskim. Na terenie MOF zidentyfikowanie także istnienie „białych plam” w wyniku braku dostępu do pełnowymiarowej sali gimnastycznej w gminie Chodecz, lecz nie uwzględniono tego przedsięwzięcia na liście rekomendowanych inwestycji o charakterze priorytetowym z uwagi na to, iż gmina nie planuje realizacji tego zadania.</w:t>
      </w:r>
      <w:bookmarkEnd w:id="86"/>
    </w:p>
    <w:p>
      <w:pPr>
        <w:pStyle w:val="Normal"/>
        <w:rPr/>
      </w:pPr>
      <w:r>
        <w:rPr/>
      </w:r>
    </w:p>
    <w:p>
      <w:pPr>
        <w:pStyle w:val="2poziom"/>
        <w:numPr>
          <w:ilvl w:val="0"/>
          <w:numId w:val="0"/>
        </w:numPr>
        <w:tabs>
          <w:tab w:val="clear" w:pos="680"/>
          <w:tab w:val="left" w:pos="993" w:leader="none"/>
        </w:tabs>
        <w:ind w:left="993" w:hanging="710"/>
        <w:jc w:val="left"/>
        <w:rPr/>
      </w:pPr>
      <w:bookmarkStart w:id="87" w:name="_Toc143161904"/>
      <w:r>
        <w:rPr/>
        <w:t>2.13. Szkoły podstawowe i jakość kształcenia na poziomie szkoły    podstawowej</w:t>
      </w:r>
      <w:bookmarkEnd w:id="87"/>
      <w:r>
        <w:rPr/>
        <w:t xml:space="preserve"> </w:t>
      </w:r>
    </w:p>
    <w:p>
      <w:pPr>
        <w:pStyle w:val="Normal"/>
        <w:spacing w:lineRule="auto" w:line="276"/>
        <w:jc w:val="both"/>
        <w:rPr/>
      </w:pPr>
      <w:r>
        <w:rPr/>
        <w:t>Jak wskazują dane pozyskane z Rejestru Szkół i Placówek Oświatowych</w:t>
      </w:r>
      <w:r>
        <w:rPr>
          <w:rStyle w:val="Zakotwiczenieprzypisudolnego"/>
          <w:vertAlign w:val="superscript"/>
        </w:rPr>
        <w:footnoteReference w:id="29"/>
      </w:r>
      <w:r>
        <w:rPr/>
        <w:t xml:space="preserve"> na terenie MOF Włocławka funkcjonuje 58 szkół podstawowych (w tym 2 szkoły specjalne). Większość z nich to szkoły publiczne (50 placówek). Według danych GUS w 2020r. łącznie w szkołach podstawowych dla dzieci i młodzieży funkcjonujących na terenie MOF uczyło się 13 825 uczniów (w tym 136 uczniów w szkołach specjalnych).</w:t>
      </w:r>
    </w:p>
    <w:p>
      <w:pPr>
        <w:pStyle w:val="Normal"/>
        <w:spacing w:lineRule="auto" w:line="276"/>
        <w:jc w:val="both"/>
        <w:rPr/>
      </w:pPr>
      <w:r>
        <w:rPr/>
        <w:t>Podstawową statystyczną miarą oceny zróżnicowania jakości kształcenia jednostek samorządu terytorialnego jest analiza wyników egzaminów kończących szkołę podstawową (egzamin ósmoklasisty). Egzamin ten przeprowadzany jest w formie pisemnej i obejmuje trzy przedmioty: język polski, matematykę oraz język obcy nowożytny (zdecydowana większość uczniów zdaje egzamin</w:t>
        <w:br/>
        <w:t xml:space="preserve"> z języka angielskiego, dlatego też analizę przeprowadzono na podstawie wyników osiąganych </w:t>
        <w:br/>
        <w:t>na egzaminie z tego języka obcego). Wyniki egzaminów ósmoklasisty stanowią podsumowanie zdobytej wiedzy i umiejętności w procesie kształcenia na etapie szkoły podstawowej i pośrednio wskazują na poziom nauczania w szkołach. Ze względu na coroczną zmienność poziomu trudności egzaminów, wyniki przedstawiono jako wartości względne, odniesione do średniej dla województwa kujawsko-pomorskiego. Ponadto, w analizie wykorzystano wartości uśrednione dla 3 lat (2019-2021) w celu wyeliminowania jednorazowego, przypadkowego wystąpienia wartości bardzo niskiej (będącej konsekwencją np. zdawania egzaminu przez słabszy rocznik uczniów).</w:t>
      </w:r>
    </w:p>
    <w:p>
      <w:pPr>
        <w:pStyle w:val="Normal"/>
        <w:spacing w:lineRule="auto" w:line="276"/>
        <w:jc w:val="both"/>
        <w:rPr/>
      </w:pPr>
      <w:r>
        <w:rPr/>
        <w:t>Na terenie MOF Włocławka w okresie 2019-2021 egzamin ko</w:t>
      </w:r>
      <w:r>
        <w:rPr>
          <w:rFonts w:cs="Calibri"/>
        </w:rPr>
        <w:t>ń</w:t>
      </w:r>
      <w:r>
        <w:rPr/>
        <w:t>cz</w:t>
      </w:r>
      <w:r>
        <w:rPr>
          <w:rFonts w:cs="Calibri"/>
        </w:rPr>
        <w:t>ą</w:t>
      </w:r>
      <w:r>
        <w:rPr/>
        <w:t>cy szkoł</w:t>
      </w:r>
      <w:r>
        <w:rPr>
          <w:rFonts w:cs="Calibri"/>
        </w:rPr>
        <w:t>ę</w:t>
      </w:r>
      <w:r>
        <w:rPr/>
        <w:t xml:space="preserve"> podstawow</w:t>
      </w:r>
      <w:r>
        <w:rPr>
          <w:rFonts w:cs="Calibri"/>
        </w:rPr>
        <w:t>ą</w:t>
      </w:r>
      <w:r>
        <w:rPr/>
        <w:t xml:space="preserve"> zdawało </w:t>
      </w:r>
      <w:r>
        <w:rPr>
          <w:rFonts w:cs="Calibri"/>
        </w:rPr>
        <w:t>ś</w:t>
      </w:r>
      <w:r>
        <w:rPr/>
        <w:t>redniorocznie prawie 1700 uczniów, z czego około 950 stanowili uczniowie z gminy miejskiej Włocławek. Wyniki egzaminów na obszarze w analizowanym okresie były nieco gorsze niż przeciętnie w województwie kujawsko-pomorskim. Jedynie z egzaminu z języka polskiego osiągnięto wynik nieznacznie wyższy niż w regionie (100,7% średniej), natomiast z egzaminów z matematyki i języka angielskiego uzyskane na obszarze wyniki stanowiły odpowiednio 98,3% i 98,9% średniej wojewódzkiej.</w:t>
      </w:r>
    </w:p>
    <w:p>
      <w:pPr>
        <w:pStyle w:val="Normal"/>
        <w:spacing w:lineRule="auto" w:line="276"/>
        <w:jc w:val="both"/>
        <w:rPr>
          <w:rFonts w:cs="Calibri"/>
        </w:rPr>
      </w:pPr>
      <w:r>
        <w:rPr>
          <w:rFonts w:cs="Calibri"/>
        </w:rPr>
        <w:t xml:space="preserve">Przeciętnie pod względem jakości kształcenia przedstawia się sytuacja gminy miejskiej Włocławek, </w:t>
        <w:br/>
        <w:t>w której wyniki egzaminów z języka polskiego i matematyki były niższe od średniej wojewódzkiej</w:t>
        <w:br/>
        <w:t xml:space="preserve"> i jednocześnie nie należały do wysokich na tle pozostałych gmin MOF Włocławka (w przypadku języka polskiego wynik egzaminu należał do niższych, a w przypadku matematyki do średnich, w porównaniu do pozostałych gmin obszaru). Jest to o tyle niekorzystne, że słabsza sytuacja miasta rdzeniowego przekłada się negatywnie na sytuację całego obszaru funkcjonalnego. Stosunkowo dobrze natomiast przedstawia się przeciętny wynik egzaminu z języka angielskiego, który stanowił 106,1% średniej wojewódzkiej (miasto zajęło 13. lokatę wśród 144 gmin województwa). Pozostałe gminy tworzące </w:t>
      </w:r>
      <w:r>
        <w:rPr/>
        <w:t xml:space="preserve">MOF Włocławka </w:t>
      </w:r>
      <w:r>
        <w:rPr>
          <w:rFonts w:cs="Calibri"/>
        </w:rPr>
        <w:t>cechowały się bardzo dużym zr</w:t>
      </w:r>
      <w:r>
        <w:rPr>
          <w:rFonts w:cs="Lato"/>
        </w:rPr>
        <w:t>ó</w:t>
      </w:r>
      <w:r>
        <w:rPr>
          <w:rFonts w:cs="Calibri"/>
        </w:rPr>
        <w:t xml:space="preserve">żnicowaniem </w:t>
      </w:r>
      <w:r>
        <w:rPr/>
        <w:t>jako</w:t>
      </w:r>
      <w:r>
        <w:rPr>
          <w:rFonts w:cs="Calibri"/>
        </w:rPr>
        <w:t>ś</w:t>
      </w:r>
      <w:r>
        <w:rPr/>
        <w:t>ci kszta</w:t>
      </w:r>
      <w:r>
        <w:rPr>
          <w:rFonts w:cs="Lato"/>
        </w:rPr>
        <w:t>ł</w:t>
      </w:r>
      <w:r>
        <w:rPr/>
        <w:t>cenia, cho</w:t>
      </w:r>
      <w:r>
        <w:rPr>
          <w:rFonts w:cs="Calibri"/>
        </w:rPr>
        <w:t>ć większość zaliczyć należy do gmin średnich na tle pozostałych gmin regionu.</w:t>
      </w:r>
    </w:p>
    <w:p>
      <w:pPr>
        <w:pStyle w:val="Normal"/>
        <w:spacing w:lineRule="auto" w:line="276"/>
        <w:jc w:val="both"/>
        <w:rPr>
          <w:rFonts w:cs="Calibri"/>
        </w:rPr>
      </w:pPr>
      <w:r>
        <w:rPr/>
        <w:t>Spośród gmin MOF Włocławka zdecydowanie pozytywnie wyró</w:t>
      </w:r>
      <w:r>
        <w:rPr>
          <w:rFonts w:cs="Calibri"/>
        </w:rPr>
        <w:t>żniała się gmina miejska Kowal, która w zakresie wyników egzaminów ze wszystkich przedmiotów zajmowała czołowe miejsca wśr</w:t>
      </w:r>
      <w:r>
        <w:rPr>
          <w:rFonts w:cs="Lato"/>
        </w:rPr>
        <w:t>ó</w:t>
      </w:r>
      <w:r>
        <w:rPr>
          <w:rFonts w:cs="Calibri"/>
        </w:rPr>
        <w:t xml:space="preserve">d 144 gmin regionu, a uzyskane wyniki zaliczyć można do bardzo wysokich – z języka polskiego 1. lokata (uzyskany wynik stanowił 114,2% średniej wartości wojewódzkiej), z języka angielskiego 2. lokata (125,5% średniej), a z matematyki 4. lokata (124,6% średniej). Bardzo dobre wyniki egzaminów, </w:t>
        <w:br/>
        <w:t>ze wszystkich przedmiotów przewyższające średnie wartości wojewódzkie, uzyskano również w gminie Fabianki, co w każdym przypadku ulokowało gminę w pierwszej dwudziestce gmin województwa: język angielski - 11. lokata (107,8% średniej), matematyka - 16. lokata (107,3% średniej) i język polski – 20. lokata (106,9% średniej). Z pozostałych gmin, żadna nie uzyska</w:t>
      </w:r>
      <w:r>
        <w:rPr>
          <w:rFonts w:cs="Lato"/>
        </w:rPr>
        <w:t>ł</w:t>
      </w:r>
      <w:r>
        <w:rPr>
          <w:rFonts w:cs="Calibri"/>
        </w:rPr>
        <w:t>a wynik</w:t>
      </w:r>
      <w:r>
        <w:rPr>
          <w:rFonts w:cs="Lato"/>
        </w:rPr>
        <w:t>ó</w:t>
      </w:r>
      <w:r>
        <w:rPr>
          <w:rFonts w:cs="Calibri"/>
        </w:rPr>
        <w:t xml:space="preserve">w egzaminów przewyższających średnią wojewódzką z co najmniej 2 przedmiotów, </w:t>
      </w:r>
      <w:r>
        <w:rPr/>
        <w:t>natomiast wyst</w:t>
      </w:r>
      <w:r>
        <w:rPr>
          <w:rFonts w:cs="Calibri"/>
        </w:rPr>
        <w:t>ę</w:t>
      </w:r>
      <w:r>
        <w:rPr/>
        <w:t>powało tu du</w:t>
      </w:r>
      <w:r>
        <w:rPr>
          <w:rFonts w:cs="Calibri"/>
        </w:rPr>
        <w:t>ż</w:t>
      </w:r>
      <w:r>
        <w:rPr/>
        <w:t>e zr</w:t>
      </w:r>
      <w:r>
        <w:rPr>
          <w:rFonts w:cs="Lato"/>
        </w:rPr>
        <w:t>ó</w:t>
      </w:r>
      <w:r>
        <w:rPr>
          <w:rFonts w:cs="Calibri"/>
        </w:rPr>
        <w:t>ż</w:t>
      </w:r>
      <w:r>
        <w:rPr/>
        <w:t>nicowanie pozycji i wynik</w:t>
      </w:r>
      <w:r>
        <w:rPr>
          <w:rFonts w:cs="Lato"/>
        </w:rPr>
        <w:t>ó</w:t>
      </w:r>
      <w:r>
        <w:rPr/>
        <w:t>w w zale</w:t>
      </w:r>
      <w:r>
        <w:rPr>
          <w:rFonts w:cs="Calibri"/>
        </w:rPr>
        <w:t>ż</w:t>
      </w:r>
      <w:r>
        <w:rPr/>
        <w:t>no</w:t>
      </w:r>
      <w:r>
        <w:rPr>
          <w:rFonts w:cs="Calibri"/>
        </w:rPr>
        <w:t>ś</w:t>
      </w:r>
      <w:r>
        <w:rPr/>
        <w:t>ci od zdawanego przedmiotu</w:t>
      </w:r>
      <w:r>
        <w:rPr>
          <w:rFonts w:cs="Calibri"/>
        </w:rPr>
        <w:t>. Najmniej korzystnie wśr</w:t>
      </w:r>
      <w:r>
        <w:rPr>
          <w:rFonts w:cs="Lato"/>
        </w:rPr>
        <w:t>ó</w:t>
      </w:r>
      <w:r>
        <w:rPr>
          <w:rFonts w:cs="Calibri"/>
        </w:rPr>
        <w:t>d gmin obszaru przedstawiała się jakość kształcenia na terenie gmin Choceń oraz wiejskiej W</w:t>
      </w:r>
      <w:r>
        <w:rPr>
          <w:rFonts w:cs="Lato"/>
        </w:rPr>
        <w:t>ł</w:t>
      </w:r>
      <w:r>
        <w:rPr>
          <w:rFonts w:cs="Calibri"/>
        </w:rPr>
        <w:t>oc</w:t>
      </w:r>
      <w:r>
        <w:rPr>
          <w:rFonts w:cs="Lato"/>
        </w:rPr>
        <w:t>ł</w:t>
      </w:r>
      <w:r>
        <w:rPr>
          <w:rFonts w:cs="Calibri"/>
        </w:rPr>
        <w:t>awek, które w zakresie wyników egzaminów ze wszystkich przedmiotów zaję</w:t>
      </w:r>
      <w:r>
        <w:rPr>
          <w:rFonts w:cs="Lato"/>
        </w:rPr>
        <w:t>ł</w:t>
      </w:r>
      <w:r>
        <w:rPr>
          <w:rFonts w:cs="Calibri"/>
        </w:rPr>
        <w:t>y niskie pozycje wśr</w:t>
      </w:r>
      <w:r>
        <w:rPr>
          <w:rFonts w:cs="Lato"/>
        </w:rPr>
        <w:t>ó</w:t>
      </w:r>
      <w:r>
        <w:rPr>
          <w:rFonts w:cs="Calibri"/>
        </w:rPr>
        <w:t xml:space="preserve">d gmin regionu. </w:t>
      </w:r>
    </w:p>
    <w:p>
      <w:pPr>
        <w:pStyle w:val="Normal"/>
        <w:spacing w:lineRule="auto" w:line="276"/>
        <w:jc w:val="both"/>
        <w:rPr>
          <w:rFonts w:cs="Calibri"/>
        </w:rPr>
      </w:pPr>
      <w:r>
        <w:rPr/>
        <w:t>Uwagę zwracają niskie wyniki egzaminu z języka angielskiego,</w:t>
      </w:r>
      <w:r>
        <w:rPr>
          <w:rFonts w:cs="Calibri"/>
        </w:rPr>
        <w:t xml:space="preserve"> gdyż w prawie połowie gmin obszaru</w:t>
        <w:br/>
        <w:t xml:space="preserve"> są one o co najmniej 20% niższe niż przeciętnie w regionie i jednocześnie gminy te zajmują bardzo niskie lokaty </w:t>
      </w:r>
      <w:r>
        <w:rPr/>
        <w:t xml:space="preserve">na tle pozostałych gmin w województwie kujawsko-pomorskim </w:t>
      </w:r>
      <w:r>
        <w:rPr>
          <w:rFonts w:cs="Calibri"/>
        </w:rPr>
        <w:t xml:space="preserve">(6 gmin ulokowało </w:t>
        <w:br/>
        <w:t>się od 110. do 136. pozycji na 144 gminy).</w:t>
      </w:r>
    </w:p>
    <w:p>
      <w:pPr>
        <w:pStyle w:val="Normal"/>
        <w:rPr>
          <w:rFonts w:cs="Calibri"/>
        </w:rPr>
      </w:pPr>
      <w:r>
        <w:rPr>
          <w:rFonts w:cs="Calibri"/>
        </w:rPr>
      </w:r>
    </w:p>
    <w:p>
      <w:pPr>
        <w:pStyle w:val="TytuMAPiTABEL"/>
        <w:rPr/>
      </w:pPr>
      <w:r>
        <w:rPr/>
        <w:t xml:space="preserve">Tabela 10. Wyniki egzaminu ósmoklasisty </w:t>
      </w:r>
      <w:r>
        <w:rPr>
          <w:lang w:eastAsia="pl-PL"/>
        </w:rPr>
        <w:t>w latach 2019-2021 na terenie MOF Włocławka w stosunku do średniej wartości dla województwa kujawsko-pomorskiego (%; kujawsko-pomorskie = 100%)</w:t>
      </w:r>
    </w:p>
    <w:tbl>
      <w:tblPr>
        <w:tblW w:w="919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73"/>
        <w:gridCol w:w="1354"/>
        <w:gridCol w:w="745"/>
        <w:gridCol w:w="601"/>
        <w:gridCol w:w="604"/>
        <w:gridCol w:w="601"/>
        <w:gridCol w:w="604"/>
        <w:gridCol w:w="601"/>
        <w:gridCol w:w="603"/>
        <w:gridCol w:w="602"/>
        <w:gridCol w:w="603"/>
        <w:gridCol w:w="602"/>
        <w:gridCol w:w="602"/>
        <w:gridCol w:w="603"/>
      </w:tblGrid>
      <w:tr>
        <w:trPr>
          <w:trHeight w:val="315" w:hRule="atLeast"/>
        </w:trPr>
        <w:tc>
          <w:tcPr>
            <w:tcW w:w="1827"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2551"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Język polski</w:t>
            </w:r>
          </w:p>
        </w:tc>
        <w:tc>
          <w:tcPr>
            <w:tcW w:w="2410"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Matematyka</w:t>
            </w:r>
          </w:p>
        </w:tc>
        <w:tc>
          <w:tcPr>
            <w:tcW w:w="2410"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Język angielski</w:t>
            </w:r>
          </w:p>
        </w:tc>
      </w:tr>
      <w:tr>
        <w:trPr>
          <w:trHeight w:val="315" w:hRule="atLeast"/>
        </w:trPr>
        <w:tc>
          <w:tcPr>
            <w:tcW w:w="1827"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745"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2019</w:t>
            </w:r>
          </w:p>
        </w:tc>
        <w:tc>
          <w:tcPr>
            <w:tcW w:w="60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60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60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śred.*</w:t>
            </w:r>
          </w:p>
        </w:tc>
        <w:tc>
          <w:tcPr>
            <w:tcW w:w="60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2019</w:t>
            </w:r>
          </w:p>
        </w:tc>
        <w:tc>
          <w:tcPr>
            <w:tcW w:w="60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60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60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śred.*</w:t>
            </w:r>
          </w:p>
        </w:tc>
        <w:tc>
          <w:tcPr>
            <w:tcW w:w="60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2019</w:t>
            </w:r>
          </w:p>
        </w:tc>
        <w:tc>
          <w:tcPr>
            <w:tcW w:w="60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60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60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śred.*</w:t>
            </w:r>
          </w:p>
        </w:tc>
      </w:tr>
      <w:tr>
        <w:trPr>
          <w:trHeight w:val="299" w:hRule="atLeast"/>
        </w:trPr>
        <w:tc>
          <w:tcPr>
            <w:tcW w:w="1827" w:type="dxa"/>
            <w:gridSpan w:val="2"/>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MOF Włocławka</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102,9</w:t>
            </w:r>
          </w:p>
        </w:tc>
        <w:tc>
          <w:tcPr>
            <w:tcW w:w="60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97,7</w:t>
            </w:r>
          </w:p>
        </w:tc>
        <w:tc>
          <w:tcPr>
            <w:tcW w:w="604"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101,6</w:t>
            </w:r>
          </w:p>
        </w:tc>
        <w:tc>
          <w:tcPr>
            <w:tcW w:w="60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100,7</w:t>
            </w:r>
          </w:p>
        </w:tc>
        <w:tc>
          <w:tcPr>
            <w:tcW w:w="604"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95,3</w:t>
            </w:r>
          </w:p>
        </w:tc>
        <w:tc>
          <w:tcPr>
            <w:tcW w:w="60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98,4</w:t>
            </w:r>
          </w:p>
        </w:tc>
        <w:tc>
          <w:tcPr>
            <w:tcW w:w="603"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101,2</w:t>
            </w:r>
          </w:p>
        </w:tc>
        <w:tc>
          <w:tcPr>
            <w:tcW w:w="602"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98,3</w:t>
            </w:r>
          </w:p>
        </w:tc>
        <w:tc>
          <w:tcPr>
            <w:tcW w:w="603"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97,7</w:t>
            </w:r>
          </w:p>
        </w:tc>
        <w:tc>
          <w:tcPr>
            <w:tcW w:w="602"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98,5</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100,5</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98,9</w:t>
            </w:r>
          </w:p>
        </w:tc>
      </w:tr>
      <w:tr>
        <w:trPr>
          <w:trHeight w:val="299" w:hRule="atLeast"/>
        </w:trPr>
        <w:tc>
          <w:tcPr>
            <w:tcW w:w="473"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vAlign w:val="center"/>
          </w:tcPr>
          <w:p>
            <w:pPr>
              <w:pStyle w:val="Normal"/>
              <w:widowControl w:val="false"/>
              <w:spacing w:lineRule="auto" w:line="240" w:before="40" w:after="40"/>
              <w:ind w:left="113" w:right="113" w:hanging="0"/>
              <w:jc w:val="center"/>
              <w:rPr>
                <w:rFonts w:cs="Calibri" w:cstheme="minorHAnsi"/>
                <w:b/>
                <w:bCs/>
                <w:sz w:val="18"/>
                <w:szCs w:val="18"/>
              </w:rPr>
            </w:pPr>
            <w:r>
              <w:rPr>
                <w:rFonts w:cs="Calibri" w:cstheme="minorHAnsi"/>
                <w:b/>
                <w:bCs/>
                <w:sz w:val="18"/>
                <w:szCs w:val="18"/>
              </w:rPr>
              <w:t>Gminy</w:t>
            </w:r>
          </w:p>
        </w:tc>
        <w:tc>
          <w:tcPr>
            <w:tcW w:w="135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Baruchowo</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104,4</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98,6</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121,1</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108,0</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89,4</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94,1</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99,6</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94,4</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77,8</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67,4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92,2</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79,1</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Boniewo</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91,5</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93,4</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104,9</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96,6</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95,3</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97,3</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105,9</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99,5</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69,1</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81,7</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78,7</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76,5</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Brześć Kujawski</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100,2</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99,4</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101,2</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89,2</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106,4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99,9</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91,5</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102,4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102,5</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98,8</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Choceń</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90,9</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98,6</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94,0</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94,5</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72,1</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96,1</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79,3</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82,5</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73,2</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92,8</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70,6</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78,8</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Chodecz</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104,0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100,6</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122,5</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109,0</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96,8</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84,0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111,1</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97,3</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85,0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81,9</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97,6</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88,2</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Fabianki</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110,1</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107,1</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103,5</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106,9</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111,9</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105,4</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104,4</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107,3</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107,9</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117,4</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98,0</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107,8</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Izbica Kujawska</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101,6</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93,6</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96,5</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97,2</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96,9</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86,0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100,4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94,5</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76,9</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83,2</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95,7</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85,3</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(gmina miejska)</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120,0</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110,9</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111,8</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114,2</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120,5</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142,3</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111,1</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124,6</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126,6</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139,7</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110,2</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125,5</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Kowal (gmina wiejska)</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110,3</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104,7</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95,9</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103,6</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90,2</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94,0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103,4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95,9</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86,4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48,4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85,5</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73,4</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Lubanie</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107,9</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107,1</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107,8</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107,6</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102,8</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92,4</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90,6</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95,3</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101,8</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94,2</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84,2</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93,4</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Lubień Kujawski</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106,7</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95,8</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97,2</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99,9</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114,1</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101,1</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89,3</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101,5</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79,4</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84,7</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85,0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83,0</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Lubraniec</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105,4</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100,3</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98,1</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101,3</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104,2</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98,0</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94,2</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98,8</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82,5</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81,3</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75,0</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79,6</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Włocławek (gmina miejska)</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102,6</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95,8</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100,6</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99,7</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93,0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99,8</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103,5</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98,7</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106,7</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107,6</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106,1</w:t>
            </w:r>
          </w:p>
        </w:tc>
      </w:tr>
      <w:tr>
        <w:trPr>
          <w:trHeight w:val="299" w:hRule="atLeast"/>
        </w:trPr>
        <w:tc>
          <w:tcPr>
            <w:tcW w:w="473"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r>
          </w:p>
        </w:tc>
        <w:tc>
          <w:tcPr>
            <w:tcW w:w="135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Włocławek (gmina wiejska)</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102,0</w:t>
            </w:r>
          </w:p>
        </w:tc>
        <w:tc>
          <w:tcPr>
            <w:tcW w:w="6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91,4</w:t>
            </w:r>
          </w:p>
        </w:tc>
        <w:tc>
          <w:tcPr>
            <w:tcW w:w="60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97,1</w:t>
            </w:r>
          </w:p>
        </w:tc>
        <w:tc>
          <w:tcPr>
            <w:tcW w:w="6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96,8</w:t>
            </w:r>
          </w:p>
        </w:tc>
        <w:tc>
          <w:tcPr>
            <w:tcW w:w="604"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80,3</w:t>
            </w:r>
          </w:p>
        </w:tc>
        <w:tc>
          <w:tcPr>
            <w:tcW w:w="60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84,0</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83,2</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82,5</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83,1</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65,5</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91,9</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80,2</w:t>
            </w:r>
          </w:p>
        </w:tc>
      </w:tr>
      <w:tr>
        <w:trPr>
          <w:trHeight w:val="299" w:hRule="atLeast"/>
        </w:trPr>
        <w:tc>
          <w:tcPr>
            <w:tcW w:w="1827"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Województwo kujawsko-pomorskie</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100,0</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100,0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100,0</w:t>
            </w:r>
          </w:p>
        </w:tc>
      </w:tr>
    </w:tbl>
    <w:p>
      <w:pPr>
        <w:pStyle w:val="RdoTABEL"/>
        <w:rPr/>
      </w:pPr>
      <w:r>
        <w:rPr/>
        <w:t>Źródło: Opracowanie KPBPPiR o. Bydgoszcz na podstawie CKE i OKE w Gdańsku</w:t>
      </w:r>
    </w:p>
    <w:p>
      <w:pPr>
        <w:pStyle w:val="RdoTABEL"/>
        <w:rPr/>
      </w:pPr>
      <w:r>
        <w:rPr/>
        <w:t>*wartość uśredniona dla lat 2019-2021</w:t>
      </w:r>
    </w:p>
    <w:p>
      <w:pPr>
        <w:pStyle w:val="Normal"/>
        <w:spacing w:lineRule="auto" w:line="276" w:before="0" w:after="200"/>
        <w:rPr/>
      </w:pPr>
      <w:r>
        <w:rPr/>
      </w:r>
      <w:r>
        <w:br w:type="page"/>
      </w:r>
    </w:p>
    <w:p>
      <w:pPr>
        <w:pStyle w:val="TytuMAPiTABEL"/>
        <w:rPr/>
      </w:pPr>
      <w:r>
        <w:rPr/>
        <w:t>Mapa 7. Przeciętne wyniki egzaminu ósmoklasisty z języka polskiego w latach 2019-2021 w stosunku do średniej warto</w:t>
      </w:r>
      <w:r>
        <w:rPr>
          <w:rFonts w:cs="Calibri"/>
        </w:rPr>
        <w:t>ś</w:t>
      </w:r>
      <w:r>
        <w:rPr/>
        <w:t>ci wojewódzkiej</w:t>
      </w:r>
    </w:p>
    <w:p>
      <w:pPr>
        <w:pStyle w:val="Normal"/>
        <w:spacing w:lineRule="auto" w:line="240" w:before="60" w:after="0"/>
        <w:rPr>
          <w:rFonts w:cs="Calibri" w:cstheme="minorHAnsi"/>
          <w:b/>
          <w:iCs/>
          <w:sz w:val="18"/>
          <w:szCs w:val="18"/>
        </w:rPr>
      </w:pPr>
      <w:r>
        <w:rPr/>
        <w:drawing>
          <wp:inline distT="0" distB="0" distL="0" distR="0">
            <wp:extent cx="5760720" cy="4048760"/>
            <wp:effectExtent l="0" t="0" r="0" b="0"/>
            <wp:docPr id="40"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5" descr=""/>
                    <pic:cNvPicPr>
                      <a:picLocks noChangeAspect="1" noChangeArrowheads="1"/>
                    </pic:cNvPicPr>
                  </pic:nvPicPr>
                  <pic:blipFill>
                    <a:blip r:embed="rId23"/>
                    <a:stretch>
                      <a:fillRect/>
                    </a:stretch>
                  </pic:blipFill>
                  <pic:spPr bwMode="auto">
                    <a:xfrm>
                      <a:off x="0" y="0"/>
                      <a:ext cx="5760720" cy="4048760"/>
                    </a:xfrm>
                    <a:prstGeom prst="rect">
                      <a:avLst/>
                    </a:prstGeom>
                  </pic:spPr>
                </pic:pic>
              </a:graphicData>
            </a:graphic>
          </wp:inline>
        </w:drawing>
      </w:r>
    </w:p>
    <w:p>
      <w:pPr>
        <w:pStyle w:val="Normal"/>
        <w:spacing w:lineRule="auto" w:line="240" w:before="60" w:after="0"/>
        <w:rPr>
          <w:rFonts w:cs="Calibri" w:cstheme="minorHAnsi"/>
          <w:b/>
          <w:iCs/>
          <w:sz w:val="18"/>
          <w:szCs w:val="18"/>
        </w:rPr>
      </w:pPr>
      <w:r>
        <w:rPr>
          <w:rFonts w:cs="Calibri" w:cstheme="minorHAnsi"/>
          <w:b/>
          <w:iCs/>
          <w:sz w:val="18"/>
          <w:szCs w:val="18"/>
        </w:rPr>
      </w:r>
    </w:p>
    <w:p>
      <w:pPr>
        <w:pStyle w:val="TytuMAPiTABEL"/>
        <w:jc w:val="left"/>
        <w:rPr/>
      </w:pPr>
      <w:r>
        <w:rPr/>
        <w:t>Mapa 8. Przeci</w:t>
      </w:r>
      <w:r>
        <w:rPr>
          <w:rFonts w:cs="Calibri"/>
        </w:rPr>
        <w:t>ę</w:t>
      </w:r>
      <w:r>
        <w:rPr/>
        <w:t xml:space="preserve">tne wyniki egzaminu ósmoklasisty z matematyki w latach 2019-2021 w stosunku do </w:t>
      </w:r>
      <w:r>
        <w:rPr>
          <w:rFonts w:cs="Calibri"/>
        </w:rPr>
        <w:t>ś</w:t>
      </w:r>
      <w:r>
        <w:rPr/>
        <w:t>redniej warto</w:t>
      </w:r>
      <w:r>
        <w:rPr>
          <w:rFonts w:cs="Calibri"/>
        </w:rPr>
        <w:t>ś</w:t>
      </w:r>
      <w:r>
        <w:rPr/>
        <w:t>ci wojewódzkiej</w:t>
      </w:r>
      <w:r>
        <w:rPr/>
        <w:drawing>
          <wp:inline distT="0" distB="0" distL="0" distR="0">
            <wp:extent cx="5759450" cy="4048125"/>
            <wp:effectExtent l="0" t="0" r="0" b="0"/>
            <wp:docPr id="41"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8" descr=""/>
                    <pic:cNvPicPr>
                      <a:picLocks noChangeAspect="1" noChangeArrowheads="1"/>
                    </pic:cNvPicPr>
                  </pic:nvPicPr>
                  <pic:blipFill>
                    <a:blip r:embed="rId24"/>
                    <a:stretch>
                      <a:fillRect/>
                    </a:stretch>
                  </pic:blipFill>
                  <pic:spPr bwMode="auto">
                    <a:xfrm>
                      <a:off x="0" y="0"/>
                      <a:ext cx="5759450" cy="4048125"/>
                    </a:xfrm>
                    <a:prstGeom prst="rect">
                      <a:avLst/>
                    </a:prstGeom>
                  </pic:spPr>
                </pic:pic>
              </a:graphicData>
            </a:graphic>
          </wp:inline>
        </w:drawing>
      </w:r>
    </w:p>
    <w:p>
      <w:pPr>
        <w:pStyle w:val="Normal"/>
        <w:spacing w:lineRule="auto" w:line="240" w:before="60" w:after="0"/>
        <w:rPr>
          <w:rFonts w:cs="Calibri" w:cstheme="minorHAnsi"/>
          <w:iCs/>
          <w:sz w:val="16"/>
          <w:szCs w:val="16"/>
        </w:rPr>
      </w:pPr>
      <w:r>
        <w:rPr>
          <w:rFonts w:cs="Calibri" w:cstheme="minorHAnsi"/>
          <w:iCs/>
          <w:sz w:val="16"/>
          <w:szCs w:val="16"/>
        </w:rPr>
      </w:r>
    </w:p>
    <w:p>
      <w:pPr>
        <w:pStyle w:val="Normal"/>
        <w:spacing w:lineRule="auto" w:line="240" w:before="60" w:after="0"/>
        <w:rPr>
          <w:rFonts w:cs="Calibri" w:cstheme="minorHAnsi"/>
          <w:b/>
          <w:iCs/>
          <w:sz w:val="18"/>
          <w:szCs w:val="18"/>
        </w:rPr>
      </w:pPr>
      <w:r>
        <w:rPr>
          <w:rFonts w:cs="Calibri" w:cstheme="minorHAnsi"/>
          <w:b/>
          <w:iCs/>
          <w:sz w:val="18"/>
          <w:szCs w:val="18"/>
        </w:rPr>
      </w:r>
    </w:p>
    <w:p>
      <w:pPr>
        <w:pStyle w:val="TytuMAPiTABEL"/>
        <w:rPr/>
      </w:pPr>
      <w:r>
        <w:rPr/>
        <w:t>Mapa 9. Przeci</w:t>
      </w:r>
      <w:r>
        <w:rPr>
          <w:rFonts w:cs="Calibri"/>
        </w:rPr>
        <w:t>ę</w:t>
      </w:r>
      <w:r>
        <w:rPr/>
        <w:t xml:space="preserve">tne wyniki egzaminu ósmoklasisty z języka angielskiego w latach 2019-2021 w stosunku </w:t>
        <w:br/>
        <w:t xml:space="preserve">do </w:t>
      </w:r>
      <w:r>
        <w:rPr>
          <w:rFonts w:cs="Calibri"/>
        </w:rPr>
        <w:t>ś</w:t>
      </w:r>
      <w:r>
        <w:rPr/>
        <w:t>redniej warto</w:t>
      </w:r>
      <w:r>
        <w:rPr>
          <w:rFonts w:cs="Calibri"/>
        </w:rPr>
        <w:t>ś</w:t>
      </w:r>
      <w:r>
        <w:rPr/>
        <w:t>ci wojewódzkiej</w:t>
      </w:r>
    </w:p>
    <w:p>
      <w:pPr>
        <w:pStyle w:val="Normal"/>
        <w:spacing w:lineRule="auto" w:line="240" w:before="60" w:after="0"/>
        <w:rPr>
          <w:rFonts w:cs="Calibri" w:cstheme="minorHAnsi"/>
          <w:iCs/>
          <w:sz w:val="16"/>
          <w:szCs w:val="16"/>
        </w:rPr>
      </w:pPr>
      <w:r>
        <w:rPr/>
        <w:drawing>
          <wp:inline distT="0" distB="0" distL="0" distR="0">
            <wp:extent cx="5760720" cy="4048760"/>
            <wp:effectExtent l="0" t="0" r="0" b="0"/>
            <wp:docPr id="42"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3" descr=""/>
                    <pic:cNvPicPr>
                      <a:picLocks noChangeAspect="1" noChangeArrowheads="1"/>
                    </pic:cNvPicPr>
                  </pic:nvPicPr>
                  <pic:blipFill>
                    <a:blip r:embed="rId25"/>
                    <a:stretch>
                      <a:fillRect/>
                    </a:stretch>
                  </pic:blipFill>
                  <pic:spPr bwMode="auto">
                    <a:xfrm>
                      <a:off x="0" y="0"/>
                      <a:ext cx="5760720" cy="4048760"/>
                    </a:xfrm>
                    <a:prstGeom prst="rect">
                      <a:avLst/>
                    </a:prstGeom>
                  </pic:spPr>
                </pic:pic>
              </a:graphicData>
            </a:graphic>
          </wp:inline>
        </w:drawing>
      </w:r>
    </w:p>
    <w:p>
      <w:pPr>
        <w:pStyle w:val="Normal"/>
        <w:rPr/>
      </w:pPr>
      <w:r>
        <w:rPr/>
      </w:r>
    </w:p>
    <w:p>
      <w:pPr>
        <w:pStyle w:val="2poziom"/>
        <w:numPr>
          <w:ilvl w:val="0"/>
          <w:numId w:val="0"/>
        </w:numPr>
        <w:ind w:left="993" w:hanging="710"/>
        <w:rPr/>
      </w:pPr>
      <w:bookmarkStart w:id="88" w:name="_Hlk116475080"/>
      <w:bookmarkStart w:id="89" w:name="_Toc143161905"/>
      <w:r>
        <w:rPr/>
        <w:t>2.14. Szkoły ponadpodstawowe i jakość kształcenia na poziomie szkoły ponadpodstawowej</w:t>
      </w:r>
      <w:bookmarkEnd w:id="88"/>
      <w:bookmarkEnd w:id="89"/>
    </w:p>
    <w:p>
      <w:pPr>
        <w:pStyle w:val="Normal"/>
        <w:spacing w:lineRule="auto" w:line="276"/>
        <w:jc w:val="both"/>
        <w:rPr/>
      </w:pPr>
      <w:r>
        <w:rPr/>
        <w:t>W wyniku reformy systemu edukacyjnego, zapoczątkowanej 1 września 2017 r., zlikwidowano gimnazja i wprowadzono 8-letnią szkołę podstawową, 4-letnie liceum ogólnokształcące, 5-letnie technikum, 3-letnią szkołę branżową I stopnia oraz 2-letnią szkołę branżową II stopnia. Szkoły branżowe są to szkoły powstałe na podbudowie</w:t>
      </w:r>
      <w:r>
        <w:rPr>
          <w:rFonts w:cs="Arial"/>
          <w:shd w:fill="FFFFFF" w:val="clear"/>
        </w:rPr>
        <w:t> </w:t>
      </w:r>
      <w:r>
        <w:rPr/>
        <w:t xml:space="preserve">programowej szkoły podstawowej, realizujące program nauczania w zakresie kształcenia ogólnego oraz zawodowego. Tym samym dotychczasowa </w:t>
        <w:br/>
        <w:t xml:space="preserve">3-letnia zasadnicza szkoła zawodowa przekształciła się w 3-letnią branżową szkołę I stopnia. W roku szkolnym 2017/2018 odbył się pierwszy nabór do klasy pierwszej branżowych szkół I stopnia, </w:t>
        <w:br/>
        <w:t>a w 2020/2021 do klasy pierwszej branżowych szkół II stopnia.</w:t>
      </w:r>
    </w:p>
    <w:p>
      <w:pPr>
        <w:pStyle w:val="Normal"/>
        <w:spacing w:lineRule="auto" w:line="276"/>
        <w:jc w:val="both"/>
        <w:rPr/>
      </w:pPr>
      <w:r>
        <w:rPr/>
        <w:t>Zgodnie z danymi z Rejestru Szkół i Placówek Oświatowych</w:t>
      </w:r>
      <w:r>
        <w:rPr>
          <w:rStyle w:val="Zakotwiczenieprzypisudolnego"/>
        </w:rPr>
        <w:footnoteReference w:id="30"/>
      </w:r>
      <w:r>
        <w:rPr/>
        <w:t xml:space="preserve"> na terenie MOF Włocławka zarejestrowanych było 51 szkół ponadpodstawowych dla dzieci i młodzieży (w tym 3 szkoły specjalne). Szkoły te zlokalizowane były zarówno w miastach (Włocławku, Kowalu, Izbicy Kujawskiej i Lubrańcu), jak i na terenach wiejskich (Choceniu, Starym Brześciu w gm. Brześć Kujawski, Lubieńcu w gm. Chodecz, Lubrańcu-Parcele w gm. Lubraniec i Modzerowie w gm. Izbica Kujawska) wchodzących w skład MOF. Zaliczamy do nich: 15 liceów ogólnokształcących (10 we Włocławku oraz po 1 w Kowalu, Izbicy Kujawskiej, Lubrańcu, Choceniu i Modzerowie), 14 techników (8 we Włocławku 2 w Kowalu </w:t>
        <w:br/>
        <w:t xml:space="preserve">oraz po 1 w Izbicy Kujawskiej, Starym Brześciu, Lubieńcu i Lubrańcu-Parcele), 18 szkół branżowych </w:t>
        <w:br/>
        <w:t xml:space="preserve">I stopnia (11 we Włocławku oraz po 1 w Kowalu, Izbicy Kujawskiej, Lubrańcu, Starym Brześciu,  Choceniu, Lubieńcu i Lubrańcu-Parcele), 3 szkoły branżowe II stopnia (we Włocławku, Kowalu </w:t>
        <w:br/>
        <w:t xml:space="preserve">i Lubieńcu) oraz 1 szkołę artystyczną (we Włocławku). Jak wynika z Rejestru większość z nich, 74 szkoły, to szkoły publiczne. </w:t>
      </w:r>
      <w:bookmarkStart w:id="90" w:name="_Hlk133312507"/>
      <w:r>
        <w:rPr/>
        <w:t>Działalność szkół ponadpodstawowych wzmacnia powiązania funkcjonalne obszaru, gdyż w szkołach tych kształcą się uczniowie z terenu MOF Włocławka. Oznacza to, że działania realizowane na rzecz szkół ponadpodstawowych przyczyniają się do poprawy wykształcenia ogólnego, wzrostu aktywności i umiejętności zawodowych wszystkich mieszkańców obszaru.</w:t>
      </w:r>
      <w:bookmarkEnd w:id="90"/>
    </w:p>
    <w:p>
      <w:pPr>
        <w:pStyle w:val="Normal"/>
        <w:rPr/>
      </w:pPr>
      <w:r>
        <w:rPr/>
      </w:r>
    </w:p>
    <w:p>
      <w:pPr>
        <w:pStyle w:val="Poziomost"/>
        <w:numPr>
          <w:ilvl w:val="0"/>
          <w:numId w:val="0"/>
        </w:numPr>
        <w:ind w:left="1134" w:hanging="567"/>
        <w:rPr/>
      </w:pPr>
      <w:bookmarkStart w:id="91" w:name="_Hlk116306416"/>
      <w:bookmarkStart w:id="92" w:name="_Hlk119393236"/>
      <w:bookmarkStart w:id="93" w:name="_Toc143161906"/>
      <w:r>
        <w:rPr/>
        <w:t>2.14.1.  Szkoły ponadpodstawowe maturalne</w:t>
      </w:r>
      <w:bookmarkEnd w:id="92"/>
      <w:bookmarkEnd w:id="93"/>
    </w:p>
    <w:p>
      <w:pPr>
        <w:pStyle w:val="Normal"/>
        <w:spacing w:lineRule="auto" w:line="276"/>
        <w:jc w:val="both"/>
        <w:rPr/>
      </w:pPr>
      <w:r>
        <w:rPr/>
        <w:t>Wyniki egzaminów maturalnych ukazują jakość kształcenia na poziomie ponadpodstawowym maturalnym i stopień przygotowania absolwentów do dalszej edukacji. Analizie poddano wyniki pisemnych egzaminów maturalnych na poziomie podstawowym z języka polskiego, matematyki</w:t>
        <w:br/>
        <w:t xml:space="preserve"> i języka angielskiego. Podobnie jak w przypadku egzaminów ósmoklasisty, ze wzgl</w:t>
      </w:r>
      <w:r>
        <w:rPr>
          <w:rFonts w:cs="Calibri"/>
        </w:rPr>
        <w:t>ę</w:t>
      </w:r>
      <w:r>
        <w:rPr/>
        <w:t>du na coroczn</w:t>
      </w:r>
      <w:r>
        <w:rPr>
          <w:rFonts w:cs="Calibri"/>
        </w:rPr>
        <w:t>ą</w:t>
      </w:r>
      <w:r>
        <w:rPr/>
        <w:t xml:space="preserve"> zmienno</w:t>
      </w:r>
      <w:r>
        <w:rPr>
          <w:rFonts w:cs="Calibri"/>
        </w:rPr>
        <w:t>ść</w:t>
      </w:r>
      <w:r>
        <w:rPr/>
        <w:t xml:space="preserve"> poziomu trudno</w:t>
      </w:r>
      <w:r>
        <w:rPr>
          <w:rFonts w:cs="Calibri"/>
        </w:rPr>
        <w:t>ś</w:t>
      </w:r>
      <w:r>
        <w:rPr/>
        <w:t>ci egzamin</w:t>
      </w:r>
      <w:r>
        <w:rPr>
          <w:rFonts w:cs="Lato"/>
        </w:rPr>
        <w:t>ó</w:t>
      </w:r>
      <w:r>
        <w:rPr/>
        <w:t>w, wyniki przedstawiono nie jako warto</w:t>
      </w:r>
      <w:r>
        <w:rPr>
          <w:rFonts w:cs="Calibri"/>
        </w:rPr>
        <w:t>ś</w:t>
      </w:r>
      <w:r>
        <w:rPr/>
        <w:t>ci bezwzgl</w:t>
      </w:r>
      <w:r>
        <w:rPr>
          <w:rFonts w:cs="Calibri"/>
        </w:rPr>
        <w:t>ę</w:t>
      </w:r>
      <w:r>
        <w:rPr/>
        <w:t>dne, a jako warto</w:t>
      </w:r>
      <w:r>
        <w:rPr>
          <w:rFonts w:cs="Calibri"/>
        </w:rPr>
        <w:t>ś</w:t>
      </w:r>
      <w:r>
        <w:rPr/>
        <w:t>ci wzgl</w:t>
      </w:r>
      <w:r>
        <w:rPr>
          <w:rFonts w:cs="Calibri"/>
        </w:rPr>
        <w:t>ę</w:t>
      </w:r>
      <w:r>
        <w:rPr/>
        <w:t xml:space="preserve">dne odniesione do </w:t>
      </w:r>
      <w:r>
        <w:rPr>
          <w:rFonts w:cs="Calibri"/>
        </w:rPr>
        <w:t>ś</w:t>
      </w:r>
      <w:r>
        <w:rPr/>
        <w:t>redniej dla wojew</w:t>
      </w:r>
      <w:r>
        <w:rPr>
          <w:rFonts w:cs="Lato"/>
        </w:rPr>
        <w:t>ó</w:t>
      </w:r>
      <w:r>
        <w:rPr/>
        <w:t>dztwa kujawsko-pomorskiego. Tak</w:t>
      </w:r>
      <w:r>
        <w:rPr>
          <w:rFonts w:cs="Calibri"/>
        </w:rPr>
        <w:t>ż</w:t>
      </w:r>
      <w:r>
        <w:rPr/>
        <w:t>e w tej analizie wykorzystano warto</w:t>
      </w:r>
      <w:r>
        <w:rPr>
          <w:rFonts w:cs="Calibri"/>
        </w:rPr>
        <w:t>ś</w:t>
      </w:r>
      <w:r>
        <w:rPr/>
        <w:t>ci u</w:t>
      </w:r>
      <w:r>
        <w:rPr>
          <w:rFonts w:cs="Calibri"/>
        </w:rPr>
        <w:t>ś</w:t>
      </w:r>
      <w:r>
        <w:rPr/>
        <w:t>rednione dla 3 lat (2019-2021).</w:t>
      </w:r>
      <w:bookmarkEnd w:id="91"/>
    </w:p>
    <w:p>
      <w:pPr>
        <w:pStyle w:val="Normal"/>
        <w:spacing w:lineRule="auto" w:line="276"/>
        <w:jc w:val="both"/>
        <w:rPr/>
      </w:pPr>
      <w:r>
        <w:rPr/>
        <w:t>W analizowanym okresie (2019-2021) we Włocławku egzamin maturalny zdawa</w:t>
      </w:r>
      <w:r>
        <w:rPr>
          <w:rFonts w:cs="Lato"/>
        </w:rPr>
        <w:t>ł</w:t>
      </w:r>
      <w:r>
        <w:rPr/>
        <w:t xml:space="preserve">o </w:t>
      </w:r>
      <w:r>
        <w:rPr>
          <w:rFonts w:cs="Calibri"/>
        </w:rPr>
        <w:t>ś</w:t>
      </w:r>
      <w:r>
        <w:rPr/>
        <w:t>redniorocznie oko</w:t>
      </w:r>
      <w:r>
        <w:rPr>
          <w:rFonts w:cs="Lato"/>
        </w:rPr>
        <w:t>ł</w:t>
      </w:r>
      <w:r>
        <w:rPr/>
        <w:t xml:space="preserve">o 1 350, a w powiecie </w:t>
      </w:r>
      <w:r>
        <w:rPr>
          <w:rFonts w:cs="Calibri"/>
        </w:rPr>
        <w:t>włocławskim</w:t>
      </w:r>
      <w:r>
        <w:rPr/>
        <w:t xml:space="preserve"> około 180 absolwentów szkół </w:t>
      </w:r>
      <w:r>
        <w:rPr>
          <w:rFonts w:cs="Calibri"/>
        </w:rPr>
        <w:t>średnich</w:t>
      </w:r>
      <w:r>
        <w:rPr/>
        <w:t>. na terenie MOF dostrzega się duże zróżnicowanie jakości kształcenia w mieście rdzeniowym i na obszarze funkcjonalnym miasta (powiecie włocławskim). Uczniowie szkół we Włocławku okazali si</w:t>
      </w:r>
      <w:r>
        <w:rPr>
          <w:rFonts w:cs="Calibri"/>
        </w:rPr>
        <w:t>ę</w:t>
      </w:r>
      <w:r>
        <w:rPr/>
        <w:t xml:space="preserve"> dobrze przygotowani do egzamin</w:t>
      </w:r>
      <w:r>
        <w:rPr>
          <w:rFonts w:cs="Lato"/>
        </w:rPr>
        <w:t>ó</w:t>
      </w:r>
      <w:r>
        <w:rPr/>
        <w:t>w maturalnych z j</w:t>
      </w:r>
      <w:r>
        <w:rPr>
          <w:rFonts w:cs="Calibri"/>
        </w:rPr>
        <w:t>ę</w:t>
      </w:r>
      <w:r>
        <w:rPr/>
        <w:t>zyka polskiego i matematyki, z których to przedmiotów w mie</w:t>
      </w:r>
      <w:r>
        <w:rPr>
          <w:rFonts w:cs="Calibri"/>
        </w:rPr>
        <w:t>ś</w:t>
      </w:r>
      <w:r>
        <w:rPr/>
        <w:t>cie uzyskano wyniki wy</w:t>
      </w:r>
      <w:r>
        <w:rPr>
          <w:rFonts w:cs="Calibri"/>
        </w:rPr>
        <w:t>ż</w:t>
      </w:r>
      <w:r>
        <w:rPr/>
        <w:t>sze, ni</w:t>
      </w:r>
      <w:r>
        <w:rPr>
          <w:rFonts w:cs="Calibri"/>
        </w:rPr>
        <w:t>ż</w:t>
      </w:r>
      <w:r>
        <w:rPr/>
        <w:t xml:space="preserve"> przeci</w:t>
      </w:r>
      <w:r>
        <w:rPr>
          <w:rFonts w:cs="Calibri"/>
        </w:rPr>
        <w:t>ę</w:t>
      </w:r>
      <w:r>
        <w:rPr/>
        <w:t>tnie w regionie – z j</w:t>
      </w:r>
      <w:r>
        <w:rPr>
          <w:rFonts w:cs="Calibri"/>
        </w:rPr>
        <w:t>ę</w:t>
      </w:r>
      <w:r>
        <w:rPr/>
        <w:t>zyka polskiego uzyskano w latach 2019-2021 przeci</w:t>
      </w:r>
      <w:r>
        <w:rPr>
          <w:rFonts w:cs="Calibri"/>
        </w:rPr>
        <w:t>ę</w:t>
      </w:r>
      <w:r>
        <w:rPr/>
        <w:t xml:space="preserve">tnie 102,7% </w:t>
      </w:r>
      <w:r>
        <w:rPr>
          <w:rFonts w:cs="Calibri"/>
        </w:rPr>
        <w:t>ś</w:t>
      </w:r>
      <w:r>
        <w:rPr/>
        <w:t>redniej wojewódzkiej, a z matematyki 101,3% średniej. Jednak wyniki egzaminu z j</w:t>
      </w:r>
      <w:r>
        <w:rPr>
          <w:rFonts w:cs="Calibri"/>
        </w:rPr>
        <w:t>ę</w:t>
      </w:r>
      <w:r>
        <w:rPr/>
        <w:t>zyka angielskiego były ni</w:t>
      </w:r>
      <w:r>
        <w:rPr>
          <w:rFonts w:cs="Calibri"/>
        </w:rPr>
        <w:t>ż</w:t>
      </w:r>
      <w:r>
        <w:rPr/>
        <w:t xml:space="preserve">sze i stanowiły jedynie 96,2% średniej wojewódzkiej. </w:t>
      </w:r>
    </w:p>
    <w:p>
      <w:pPr>
        <w:pStyle w:val="Normal"/>
        <w:spacing w:lineRule="auto" w:line="276"/>
        <w:jc w:val="both"/>
        <w:rPr>
          <w:rFonts w:cs="Calibri"/>
        </w:rPr>
      </w:pPr>
      <w:r>
        <w:rPr/>
        <w:t>Uczniowie szkół powiatu włocławskiego okazali si</w:t>
      </w:r>
      <w:r>
        <w:rPr>
          <w:rFonts w:cs="Calibri"/>
        </w:rPr>
        <w:t>ę</w:t>
      </w:r>
      <w:r>
        <w:rPr/>
        <w:t xml:space="preserve"> bardzo słabo przygotowani do egzamin</w:t>
      </w:r>
      <w:r>
        <w:rPr>
          <w:rFonts w:cs="Lato"/>
        </w:rPr>
        <w:t>ó</w:t>
      </w:r>
      <w:r>
        <w:rPr/>
        <w:t>w maturalnych ze wszystkich przedmiotów, gdyż uzyskane wyniki były aż o 20-30% niższe, niż przeciętnie w regionie - z j</w:t>
      </w:r>
      <w:r>
        <w:rPr>
          <w:rFonts w:cs="Calibri"/>
        </w:rPr>
        <w:t>ęzyka polskiego</w:t>
      </w:r>
      <w:r>
        <w:rPr/>
        <w:t xml:space="preserve"> uzyskano w latach 2019-2021 przeci</w:t>
      </w:r>
      <w:r>
        <w:rPr>
          <w:rFonts w:cs="Calibri"/>
        </w:rPr>
        <w:t>ę</w:t>
      </w:r>
      <w:r>
        <w:rPr/>
        <w:t xml:space="preserve">tny wynik na poziomie </w:t>
      </w:r>
      <w:r>
        <w:rPr>
          <w:rFonts w:cs="Calibri"/>
        </w:rPr>
        <w:t>80,8% ś</w:t>
      </w:r>
      <w:r>
        <w:rPr/>
        <w:t>redniej warto</w:t>
      </w:r>
      <w:r>
        <w:rPr>
          <w:rFonts w:cs="Calibri"/>
        </w:rPr>
        <w:t>ści wojew</w:t>
      </w:r>
      <w:r>
        <w:rPr>
          <w:rFonts w:cs="Lato"/>
        </w:rPr>
        <w:t>ó</w:t>
      </w:r>
      <w:r>
        <w:rPr>
          <w:rFonts w:cs="Calibri"/>
        </w:rPr>
        <w:t xml:space="preserve">dzkiej </w:t>
      </w:r>
      <w:r>
        <w:rPr/>
        <w:t>(21. lokata wśród 23 powiatów regionu), z matematyki</w:t>
      </w:r>
      <w:r>
        <w:rPr>
          <w:rFonts w:cs="Calibri"/>
        </w:rPr>
        <w:t xml:space="preserve"> </w:t>
      </w:r>
      <w:r>
        <w:rPr/>
        <w:t xml:space="preserve">wynik </w:t>
        <w:br/>
        <w:t xml:space="preserve">na poziomie 76,9% </w:t>
      </w:r>
      <w:r>
        <w:rPr>
          <w:rFonts w:cs="Calibri"/>
        </w:rPr>
        <w:t xml:space="preserve">średniej </w:t>
      </w:r>
      <w:r>
        <w:rPr/>
        <w:t>(również 21.  lokata), natomiast z j</w:t>
      </w:r>
      <w:r>
        <w:rPr>
          <w:rFonts w:cs="Calibri"/>
        </w:rPr>
        <w:t xml:space="preserve">ęzyka angielskiego </w:t>
      </w:r>
      <w:r>
        <w:rPr/>
        <w:t>zaledwie 70,7% średniej  (ostatnia</w:t>
      </w:r>
      <w:r>
        <w:rPr>
          <w:rFonts w:cs="Lato"/>
        </w:rPr>
        <w:t xml:space="preserve">  </w:t>
      </w:r>
      <w:r>
        <w:rPr/>
        <w:t>pozycja w</w:t>
      </w:r>
      <w:r>
        <w:rPr>
          <w:rFonts w:cs="Calibri"/>
        </w:rPr>
        <w:t>ś</w:t>
      </w:r>
      <w:r>
        <w:rPr/>
        <w:t>r</w:t>
      </w:r>
      <w:r>
        <w:rPr>
          <w:rFonts w:cs="Lato"/>
        </w:rPr>
        <w:t>ó</w:t>
      </w:r>
      <w:r>
        <w:rPr/>
        <w:t>d 23 powiat</w:t>
      </w:r>
      <w:r>
        <w:rPr>
          <w:rFonts w:cs="Lato"/>
        </w:rPr>
        <w:t>ó</w:t>
      </w:r>
      <w:r>
        <w:rPr/>
        <w:t>w). Sytuacj</w:t>
      </w:r>
      <w:r>
        <w:rPr>
          <w:rFonts w:cs="Calibri"/>
        </w:rPr>
        <w:t>ę powiatu włocławskiego ocenić należy jako bardzo s</w:t>
      </w:r>
      <w:r>
        <w:rPr>
          <w:rFonts w:cs="Lato"/>
        </w:rPr>
        <w:t>ł</w:t>
      </w:r>
      <w:r>
        <w:rPr>
          <w:rFonts w:cs="Calibri"/>
        </w:rPr>
        <w:t>abą pod względem wynik</w:t>
      </w:r>
      <w:r>
        <w:rPr>
          <w:rFonts w:cs="Lato"/>
        </w:rPr>
        <w:t>ó</w:t>
      </w:r>
      <w:r>
        <w:rPr>
          <w:rFonts w:cs="Calibri"/>
        </w:rPr>
        <w:t>w egzamin</w:t>
      </w:r>
      <w:r>
        <w:rPr>
          <w:rFonts w:cs="Lato"/>
        </w:rPr>
        <w:t>ó</w:t>
      </w:r>
      <w:r>
        <w:rPr>
          <w:rFonts w:cs="Calibri"/>
        </w:rPr>
        <w:t>w maturalnych, nie tylko na tle powiatów województwa kujawsko-pomorskiego, ale również na tle wszystkich powiatów w kraju.</w:t>
      </w:r>
    </w:p>
    <w:p>
      <w:pPr>
        <w:pStyle w:val="TytuMAPiTABEL"/>
        <w:rPr/>
      </w:pPr>
      <w:r>
        <w:rPr/>
        <w:t xml:space="preserve">Tabela 11.  Wyniki egzaminu maturalnego </w:t>
      </w:r>
      <w:r>
        <w:rPr>
          <w:lang w:eastAsia="pl-PL"/>
        </w:rPr>
        <w:t xml:space="preserve">w latach 2019-2021 w mieście rdzeniowym Włocławek i na obszarze powiatu włocławskiego w stosunku do średniej wartości dla województwa kujawsko-pomorskiego (%; kujawsko-pomorskie = 100%) </w:t>
      </w:r>
    </w:p>
    <w:tbl>
      <w:tblPr>
        <w:tblW w:w="919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27"/>
        <w:gridCol w:w="745"/>
        <w:gridCol w:w="601"/>
        <w:gridCol w:w="604"/>
        <w:gridCol w:w="601"/>
        <w:gridCol w:w="604"/>
        <w:gridCol w:w="601"/>
        <w:gridCol w:w="603"/>
        <w:gridCol w:w="602"/>
        <w:gridCol w:w="603"/>
        <w:gridCol w:w="602"/>
        <w:gridCol w:w="602"/>
        <w:gridCol w:w="603"/>
      </w:tblGrid>
      <w:tr>
        <w:trPr>
          <w:trHeight w:val="315" w:hRule="atLeast"/>
        </w:trPr>
        <w:tc>
          <w:tcPr>
            <w:tcW w:w="1827" w:type="dxa"/>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2551"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Język polski</w:t>
            </w:r>
          </w:p>
        </w:tc>
        <w:tc>
          <w:tcPr>
            <w:tcW w:w="2410"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Matematyka</w:t>
            </w:r>
          </w:p>
        </w:tc>
        <w:tc>
          <w:tcPr>
            <w:tcW w:w="2410" w:type="dxa"/>
            <w:gridSpan w:val="4"/>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Język angielski</w:t>
            </w:r>
          </w:p>
        </w:tc>
      </w:tr>
      <w:tr>
        <w:trPr>
          <w:trHeight w:val="315" w:hRule="atLeast"/>
        </w:trPr>
        <w:tc>
          <w:tcPr>
            <w:tcW w:w="1827" w:type="dxa"/>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745"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2019</w:t>
            </w:r>
          </w:p>
        </w:tc>
        <w:tc>
          <w:tcPr>
            <w:tcW w:w="60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60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60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śred.*</w:t>
            </w:r>
          </w:p>
        </w:tc>
        <w:tc>
          <w:tcPr>
            <w:tcW w:w="604"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2019</w:t>
            </w:r>
          </w:p>
        </w:tc>
        <w:tc>
          <w:tcPr>
            <w:tcW w:w="60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60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60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śred.*</w:t>
            </w:r>
          </w:p>
        </w:tc>
        <w:tc>
          <w:tcPr>
            <w:tcW w:w="60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2019</w:t>
            </w:r>
          </w:p>
        </w:tc>
        <w:tc>
          <w:tcPr>
            <w:tcW w:w="60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60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2021</w:t>
            </w:r>
          </w:p>
        </w:tc>
        <w:tc>
          <w:tcPr>
            <w:tcW w:w="60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śred.*</w:t>
            </w:r>
          </w:p>
        </w:tc>
      </w:tr>
      <w:tr>
        <w:trPr>
          <w:trHeight w:val="299" w:hRule="atLeast"/>
        </w:trPr>
        <w:tc>
          <w:tcPr>
            <w:tcW w:w="182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bCs/>
                <w:sz w:val="18"/>
                <w:szCs w:val="18"/>
              </w:rPr>
            </w:pPr>
            <w:r>
              <w:rPr>
                <w:rFonts w:cs="Calibri" w:cstheme="minorHAnsi"/>
                <w:b/>
                <w:bCs/>
                <w:sz w:val="18"/>
                <w:szCs w:val="18"/>
              </w:rPr>
              <w:t>m. Włocławek</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102,0</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104,0</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102,0</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102,7</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100,0</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102,0</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101,9</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101,3</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95,7</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95,7</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97,3</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b/>
                <w:bCs/>
                <w:sz w:val="18"/>
                <w:szCs w:val="18"/>
              </w:rPr>
            </w:pPr>
            <w:r>
              <w:rPr>
                <w:rFonts w:cs="Calibri" w:cstheme="minorHAnsi"/>
                <w:b/>
                <w:bCs/>
                <w:sz w:val="18"/>
                <w:szCs w:val="18"/>
              </w:rPr>
              <w:t>96,2</w:t>
            </w:r>
          </w:p>
        </w:tc>
      </w:tr>
      <w:tr>
        <w:trPr>
          <w:trHeight w:val="299" w:hRule="atLeast"/>
        </w:trPr>
        <w:tc>
          <w:tcPr>
            <w:tcW w:w="1827"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 xml:space="preserve">Powiat włocławski </w:t>
            </w:r>
          </w:p>
        </w:tc>
        <w:tc>
          <w:tcPr>
            <w:tcW w:w="745"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76,0</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84,0</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82,4</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80,8</w:t>
            </w:r>
          </w:p>
        </w:tc>
        <w:tc>
          <w:tcPr>
            <w:tcW w:w="604"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75,4</w:t>
            </w:r>
          </w:p>
        </w:tc>
        <w:tc>
          <w:tcPr>
            <w:tcW w:w="601"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76,0</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79,2</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76,9</w:t>
            </w:r>
          </w:p>
        </w:tc>
        <w:tc>
          <w:tcPr>
            <w:tcW w:w="603"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68,6</w:t>
            </w:r>
          </w:p>
        </w:tc>
        <w:tc>
          <w:tcPr>
            <w:tcW w:w="602" w:type="dxa"/>
            <w:tcBorders>
              <w:top w:val="single" w:sz="12" w:space="0" w:color="AAAAAA"/>
              <w:left w:val="single" w:sz="12" w:space="0" w:color="AAAAAA"/>
              <w:bottom w:val="single" w:sz="12" w:space="0" w:color="AAAAAA"/>
              <w:right w:val="single" w:sz="12" w:space="0" w:color="AAAAAA"/>
            </w:tcBorders>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69,6</w:t>
            </w:r>
          </w:p>
        </w:tc>
        <w:tc>
          <w:tcPr>
            <w:tcW w:w="60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74,0</w:t>
            </w:r>
          </w:p>
        </w:tc>
        <w:tc>
          <w:tcPr>
            <w:tcW w:w="60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cs="Calibri" w:cstheme="minorHAnsi"/>
                <w:b/>
                <w:bCs/>
                <w:sz w:val="18"/>
                <w:szCs w:val="18"/>
              </w:rPr>
              <w:t>70,7</w:t>
            </w:r>
          </w:p>
        </w:tc>
      </w:tr>
      <w:tr>
        <w:trPr>
          <w:trHeight w:val="299" w:hRule="atLeast"/>
        </w:trPr>
        <w:tc>
          <w:tcPr>
            <w:tcW w:w="1827"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bCs/>
                <w:sz w:val="18"/>
                <w:szCs w:val="18"/>
              </w:rPr>
              <w:t>Województwo kujawsko-pomorskie</w:t>
            </w:r>
          </w:p>
        </w:tc>
        <w:tc>
          <w:tcPr>
            <w:tcW w:w="745"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eastAsia="Times New Roman" w:cs="Calibri" w:cstheme="minorHAnsi"/>
                <w:b/>
                <w:bCs/>
                <w:sz w:val="18"/>
                <w:szCs w:val="18"/>
                <w:lang w:eastAsia="pl-PL"/>
              </w:rPr>
              <w:t>100,0</w:t>
            </w:r>
          </w:p>
        </w:tc>
        <w:tc>
          <w:tcPr>
            <w:tcW w:w="60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eastAsia="Times New Roman" w:cs="Calibri" w:cstheme="minorHAnsi"/>
                <w:b/>
                <w:bCs/>
                <w:sz w:val="18"/>
                <w:szCs w:val="18"/>
                <w:lang w:eastAsia="pl-PL"/>
              </w:rPr>
              <w:t>100,0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100,0</w:t>
            </w:r>
          </w:p>
        </w:tc>
        <w:tc>
          <w:tcPr>
            <w:tcW w:w="60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b/>
                <w:bCs/>
                <w:sz w:val="18"/>
                <w:szCs w:val="18"/>
                <w:lang w:eastAsia="pl-PL"/>
              </w:rPr>
            </w:pPr>
            <w:r>
              <w:rPr>
                <w:rFonts w:eastAsia="Times New Roman" w:cs="Calibri" w:cstheme="minorHAnsi"/>
                <w:b/>
                <w:bCs/>
                <w:sz w:val="18"/>
                <w:szCs w:val="18"/>
                <w:lang w:eastAsia="pl-PL"/>
              </w:rPr>
              <w:t>100,0</w:t>
            </w:r>
          </w:p>
        </w:tc>
      </w:tr>
    </w:tbl>
    <w:p>
      <w:pPr>
        <w:pStyle w:val="RdoTABEL"/>
        <w:rPr/>
      </w:pPr>
      <w:r>
        <w:rPr/>
        <w:t>Źródło: Opracowanie KPBPPiR o. Bydgoszcz na podstawie CKE i OKE w Gdańsku</w:t>
      </w:r>
    </w:p>
    <w:p>
      <w:pPr>
        <w:pStyle w:val="RdoTABEL"/>
        <w:rPr/>
      </w:pPr>
      <w:r>
        <w:rPr/>
        <w:t>*wartość uśredniona dla lat 2019-2021</w:t>
      </w:r>
    </w:p>
    <w:p>
      <w:pPr>
        <w:pStyle w:val="Normal"/>
        <w:rPr/>
      </w:pPr>
      <w:r>
        <w:rPr/>
      </w:r>
    </w:p>
    <w:p>
      <w:pPr>
        <w:pStyle w:val="Poziomost"/>
        <w:numPr>
          <w:ilvl w:val="0"/>
          <w:numId w:val="0"/>
        </w:numPr>
        <w:ind w:left="1134" w:hanging="567"/>
        <w:rPr/>
      </w:pPr>
      <w:bookmarkStart w:id="94" w:name="_Hlk119393284"/>
      <w:bookmarkStart w:id="95" w:name="_Toc143161907"/>
      <w:r>
        <w:rPr/>
        <w:t>2.14.2.  Szkoły ponadpodstawowe zawodowe</w:t>
      </w:r>
      <w:bookmarkEnd w:id="94"/>
      <w:bookmarkEnd w:id="95"/>
    </w:p>
    <w:p>
      <w:pPr>
        <w:pStyle w:val="Normal"/>
        <w:spacing w:lineRule="auto" w:line="276"/>
        <w:jc w:val="both"/>
        <w:rPr/>
      </w:pPr>
      <w:r>
        <w:rPr/>
        <w:t>Niezbędnym elementem sprawnie funkcjonującego i sprzyjającego rozwojowi gospodarczemu rynku pracy jest efektywne szkolnictwo zawodowe. W zakresie systemu kształcenia zawodowego dostrzega się potrzebę realizacji działań ukierunkowanych na poprawę jakości i skuteczności tego rodzaju kształcenia oraz dostosowania kształcenia zawodowego do potrzeb rynku pracy.</w:t>
      </w:r>
    </w:p>
    <w:p>
      <w:pPr>
        <w:pStyle w:val="Normal"/>
        <w:spacing w:lineRule="auto" w:line="276"/>
        <w:jc w:val="both"/>
        <w:rPr/>
      </w:pPr>
      <w:r>
        <w:rPr/>
        <w:t xml:space="preserve">W zakresie poprawy jakości kształcenia zawodowego niezbędne jest wspieranie, rozwijanie </w:t>
        <w:br/>
        <w:t xml:space="preserve">i prowadzenie szeregu działań związanych z podnoszeniem umiejętności i kompetencji uczniów, </w:t>
        <w:br/>
        <w:t xml:space="preserve">a także prowadzenie działań związanych z nabywaniem specjalistycznych kwalifikacji związanych </w:t>
        <w:br/>
        <w:t>z danym zawodem jak też zgodnych z zapotrzebowaniem rynku pracy</w:t>
      </w:r>
      <w:r>
        <w:rPr>
          <w:rStyle w:val="Zakotwiczenieprzypisudolnego"/>
          <w:rFonts w:cs="Calibri" w:cstheme="minorHAnsi"/>
          <w:color w:val="365F91" w:themeColor="accent1" w:themeShade="bf"/>
        </w:rPr>
        <w:footnoteReference w:id="31"/>
      </w:r>
      <w:r>
        <w:rPr/>
        <w:t>. Istnieje zatem potrzeba promowania kształcenia zawodowego jako wysokiej jakości ścieżki kariery wymagającej wysokich kwalifikacji, prowadzenia dodatkowych zajęć lekcyjnych, staży, praktyk zawodowych (często</w:t>
        <w:br/>
        <w:t xml:space="preserve"> w bezpośredniej współpracy z pracodawcami oraz środowiskiem otoczenia biznesu), nauki języków obcych oraz prowadzenia szeregu innych działań związanych z podnoszeniem kwalifikacji i kompetencji zgodnych z zapotrzebowaniem rynku pracy. Wsparcie uczniów powinno obejmować nie tylko zakres związany z edukacją formalną, ale również tą pozaformalną i uzupełniającą. Istotnym elementem jest zadbanie o rozwijanie umiejętności, uzdolnień oraz zainteresowań uczniów, realizacja działań edukacyjno-doradczych, diagnozowanie indywidualnych potrzeb rozwojowych i edukacyjnych, udzielanie pomocy psychologiczno-pedagogicznej i finansowej (stypendia). Ważnym elementem procesu edukacyjnego jest także kształcenie ustawiczne, które obejmuje uczenie się przez całe życie </w:t>
        <w:br/>
        <w:t>tj. pozyskiwanie wiedzy niezależnie od wieku, poziomu wykształcenia czy doświadczenia zawodowego. Dobrze przygotowana i wspierana oferta kształcenia ustawicznego daje szerokie możliwości całożyciowej edukacji a to przekłada się na wzrost i rozwój postępu społecznego i gospodarczego.</w:t>
      </w:r>
    </w:p>
    <w:p>
      <w:pPr>
        <w:pStyle w:val="Normal"/>
        <w:spacing w:lineRule="auto" w:line="276"/>
        <w:jc w:val="both"/>
        <w:rPr/>
      </w:pPr>
      <w:r>
        <w:rPr/>
        <w:t>Ważnym elementem przyszłego sukcesu edukacyjnego jest także kształtowanie właściwego środowiska edukacyjnego tj. dostosowanie infrastruktury edukacyjnej do potrzeb nowoczesnego szkolnictwa zawodowego oraz zwiększenie dostępności wykwalifikowanych kadr. Biorąc pod uwagę szybki postęp technologiczny, dynamikę rynku pracy oraz potrzebę dostosowania do rynku pracy kierunków kształcenia zawodowego dostrzega się potrzebę realizacji zadań związanych z remontem, doposażeniem, modernizacją, adaptacją sal dydaktycznych, nowoczesnych pracowni zawodowych, warsztatów, centrów kształcenia praktycznego i ustawicznego oraz innych placówek, które pełnią rolę miejsc kształcenia praktycznego uczniów. Niezbędne jest także wsparcie rozwoju zawodowego nauczycieli i instruktorów praktycznej nauki zawodu, dostosowanie i podnoszenie ich kompetencji, nabywanie odpowiednich kwalifikacji związanych z danym zawodem. Przedstawiciele kadry powinni również uzyskiwać wsparcie z zakresu realizacji zadań doradztwa zawodowego czy edukacji włączającej tj. edukacji dostosowanej do uczniów z</w:t>
      </w:r>
      <w:r>
        <w:rPr>
          <w:shd w:fill="FFFFFF" w:val="clear"/>
        </w:rPr>
        <w:t>e specjalnymi potrzebami edukacyjnymi, w tym uczniów</w:t>
      </w:r>
      <w:r>
        <w:rPr>
          <w:rStyle w:val="Annotationreference"/>
          <w:rFonts w:cs="Calibri" w:cstheme="minorHAnsi"/>
          <w:color w:val="365F91" w:themeColor="accent1" w:themeShade="bf"/>
          <w:sz w:val="22"/>
          <w:szCs w:val="22"/>
        </w:rPr>
        <w:t xml:space="preserve"> </w:t>
        <w:br/>
        <w:t xml:space="preserve">z </w:t>
      </w:r>
      <w:r>
        <w:rPr/>
        <w:t xml:space="preserve">niepełnosprawnościami </w:t>
      </w:r>
      <w:r>
        <w:rPr>
          <w:shd w:fill="FFFFFF" w:val="clear"/>
        </w:rPr>
        <w:t>czy uczniów z rodzin emigranckich</w:t>
      </w:r>
      <w:r>
        <w:rPr/>
        <w:t xml:space="preserve">. Odpowiednio przygotowane, doposażone i zmodernizowane miejsca, w których odbywają się zajęcia (szkoła, klasa, pracownia, biblioteka) oraz kadra, której stworzono warunki do podnoszenia kwalifikacji, będą wpływać zarówno na poprawę jakości kształcenia jak i podniesienie skuteczności nauczania. </w:t>
      </w:r>
    </w:p>
    <w:p>
      <w:pPr>
        <w:pStyle w:val="Normal"/>
        <w:spacing w:lineRule="auto" w:line="276"/>
        <w:jc w:val="both"/>
        <w:rPr/>
      </w:pPr>
      <w:r>
        <w:rPr/>
        <w:t xml:space="preserve">Na terenie MOF Włocławka zauważa się problemy związane z zapewnieniem wysokiej jakości kształcenia zawodowego oraz braki infrastrukturalne w szkołach zawodowych. </w:t>
      </w:r>
      <w:bookmarkStart w:id="96" w:name="_Hlk118813082"/>
      <w:bookmarkStart w:id="97" w:name="_Hlk133312970"/>
      <w:r>
        <w:rPr/>
        <w:t>Jest to niekorzystne, gdyż ze względu na silne powiązania społeczno-gospodarcze obszaru, w szkołach zawodowych kształcą się mieszkańcy wszystkich gmin tworzących MOF Włocławka, a następnie absolwenci tych szkół znajdują zatrudnienie na terenie całego obszaru.</w:t>
      </w:r>
      <w:bookmarkEnd w:id="97"/>
      <w:r>
        <w:rPr/>
        <w:t xml:space="preserve"> </w:t>
      </w:r>
    </w:p>
    <w:p>
      <w:pPr>
        <w:pStyle w:val="Normal"/>
        <w:spacing w:lineRule="auto" w:line="276"/>
        <w:jc w:val="both"/>
        <w:rPr/>
      </w:pPr>
      <w:r>
        <w:rPr/>
        <w:t>W celu poprawy jakości oraz dostosowania kształcenia zawodowego do potrzeb rynku pracy dostrzega się potrzebę</w:t>
      </w:r>
      <w:bookmarkEnd w:id="96"/>
      <w:r>
        <w:rPr/>
        <w:t xml:space="preserve"> przeprowadzania szkoleń zawodowych, będących odpowiedzią na zidentyfikowane problemy szkół należących do MOF, kursów zawodowych zakończonych uprawnieniami dla uczniów oraz zajęć specjalistycznych z przedmiotów zawodowych przygotowujących się do egzaminów zawodowych. Istnieje także potrzeba wdrażania działań związanych z rozwojem kształcenia zawodowego prowadzonych we współpracy z pracodawcami i otoczeniem biznesu (staże, praktyki). Realizacja takich projektów będzie miała bezpośredni wpływ na podnoszenie, nabywanie </w:t>
        <w:br/>
        <w:t>oraz uzupełnianie wiedzy i umiejętności, a także podnoszenie kwalifikacji zawodowych zwiększających ich szanse na rynku pracy. Na terenie MOF dostrzega się także potrzebę realizacji zadań związanych</w:t>
        <w:br/>
        <w:t xml:space="preserve"> z zapewnieniem doradztwa zawodowego dla uczniów w szkołach a także podniesieniem kompetencji i kwalifikacji nauczycieli kształcenia zawodowego. Niedobory w zakresie kształcenia zawodowego związane są także z potrzebami infrastrukturalnymi. Na terenie MOF identyfikuje się potrzeby związane z remontem, modernizacją i wyposażeniem specjalistycznych pracowni zawodowych a nawet budową budynku dydaktyczno-warsztatowego, którego celem będzie poprawa warunków nauczania w zakresie kształcenia zawodowego na terenie MOF.</w:t>
      </w:r>
    </w:p>
    <w:p>
      <w:pPr>
        <w:pStyle w:val="Normal"/>
        <w:rPr/>
      </w:pPr>
      <w:r>
        <w:rPr/>
      </w:r>
    </w:p>
    <w:p>
      <w:pPr>
        <w:pStyle w:val="2poziom"/>
        <w:numPr>
          <w:ilvl w:val="0"/>
          <w:numId w:val="0"/>
        </w:numPr>
        <w:ind w:left="283" w:hanging="0"/>
        <w:rPr/>
      </w:pPr>
      <w:bookmarkStart w:id="98" w:name="_Toc143161908"/>
      <w:r>
        <w:rPr/>
        <w:t>2.15. Instytucje kultury</w:t>
      </w:r>
      <w:bookmarkEnd w:id="98"/>
    </w:p>
    <w:p>
      <w:pPr>
        <w:pStyle w:val="Normal"/>
        <w:spacing w:lineRule="auto" w:line="276"/>
        <w:jc w:val="both"/>
        <w:rPr/>
      </w:pPr>
      <w:r>
        <w:rPr/>
        <w:t xml:space="preserve">Istotną rolę w kreowaniu szeroko rozumianego rozwoju społecznego, w tym w budowaniu wysokiej jakości kapitału ludzkiego, odgrywa baza kulturowa o znaczeniu regionalnym i lokalnym. </w:t>
      </w:r>
    </w:p>
    <w:p>
      <w:pPr>
        <w:pStyle w:val="Normal"/>
        <w:spacing w:lineRule="auto" w:line="276"/>
        <w:jc w:val="both"/>
        <w:rPr/>
      </w:pPr>
      <w:r>
        <w:rPr/>
        <w:t>Na obszarze MOF Włocławka działa jedna z 16 samorządowych instytucji kultury, których organizatorem jest województwo kujawsko-pomorskie. Jest to Muzeum Ziemi Kujawskiej</w:t>
        <w:br/>
        <w:t xml:space="preserve"> i Dobrzyńskiej we Włocławku</w:t>
      </w:r>
      <w:r>
        <w:rPr>
          <w:rStyle w:val="Zakotwiczenieprzypisudolnego"/>
          <w:vertAlign w:val="superscript"/>
        </w:rPr>
        <w:footnoteReference w:id="32"/>
      </w:r>
      <w:r>
        <w:rPr/>
        <w:t>. Według danych GUS w 2021 r. w obrębie MOF Włocławka działały łącznie 3 muzea (łącznie z oddziałami), które odwiedziło ponad 22,2 tys. osób. Instytucje kultury</w:t>
        <w:br/>
        <w:t xml:space="preserve"> o znaczeniu regionalnym i ponadregionalnym pełnią ważną rolę nie tylko w zachowaniu dziedzictwa kulturowego, ale także zwiększeniu dostępności do niego.</w:t>
      </w:r>
    </w:p>
    <w:p>
      <w:pPr>
        <w:pStyle w:val="Normal"/>
        <w:spacing w:lineRule="auto" w:line="276"/>
        <w:jc w:val="both"/>
        <w:rPr/>
      </w:pPr>
      <w:r>
        <w:rPr/>
        <w:t xml:space="preserve">Na poziomie lokalnym placówki kultury obejmują biblioteki, centra i domy kultury, świetlice a także inne instytucje pełniące tego rodzaju funkcje. Do ich zadań należy zarówno umożliwienie uczestnictwa w życiu kulturalnym, jak i prowadzenie działań aktywizacyjnych i włączających, które służą przede wszystkim integracji społecznej, kształtowaniu tożsamości lokalnej i regionalnej, a także atrakcyjnemu i pożytecznemu spędzaniu wolnego czasu. </w:t>
      </w:r>
    </w:p>
    <w:p>
      <w:pPr>
        <w:pStyle w:val="Normal"/>
        <w:spacing w:lineRule="auto" w:line="276"/>
        <w:jc w:val="both"/>
        <w:rPr/>
      </w:pPr>
      <w:r>
        <w:rPr/>
        <w:t>Działania tego rodzaju mają szczególne znaczenie na obszarze MOF Włocławka, gdzie dostrzega się nasilone problemy w zakresie rozwoju społecznego</w:t>
      </w:r>
      <w:r>
        <w:rPr>
          <w:rStyle w:val="Zakotwiczenieprzypisudolnego"/>
          <w:vertAlign w:val="superscript"/>
        </w:rPr>
        <w:footnoteReference w:id="33"/>
      </w:r>
      <w:r>
        <w:rPr/>
        <w:t>. Według danych GUS w 2021 r. na terenie MOF funkcjonowały 33 biblioteki publiczne (łącznie z filiami) oraz 12 innych placówek prowadzących działalność kulturalną</w:t>
      </w:r>
      <w:r>
        <w:rPr>
          <w:rStyle w:val="Zakotwiczenieprzypisudolnego"/>
        </w:rPr>
        <w:footnoteReference w:id="34"/>
      </w:r>
      <w:r>
        <w:rPr/>
        <w:t xml:space="preserve">. Poza placówkami wskazywanymi przez GUS na obszarze MOF znajdują </w:t>
        <w:br/>
        <w:t>się również inne obiekty (w tym świetlice wiejskie), które mogą być miejscem realizacji działań kulturalno-animacyjnych.</w:t>
      </w:r>
    </w:p>
    <w:p>
      <w:pPr>
        <w:pStyle w:val="Normal"/>
        <w:spacing w:lineRule="auto" w:line="276"/>
        <w:jc w:val="both"/>
        <w:rPr/>
      </w:pPr>
      <w:r>
        <w:rPr/>
        <w:t xml:space="preserve">Problemem jest jednak stan techniczny i wyposażenie istniejących obiektów. Na terenie MOF identyfikuje się instytucje kultury dysponujące niewystarczającymi warunkami lokalowymi (wymagające m.in. kompleksowych remontów, modernizacji, przebudowy lub adaptacji istniejącej infrastruktury) oraz niedoborami w zakresie wyposażenia (m.in. multimedialnego), co nie pozwala </w:t>
        <w:br/>
        <w:t>na pełne wykorzystanie ich potencjału i ogranicza możliwość rozszerzenia działalności. Ważną kwestią są również identyfikowane na terenie MOF niedostateczne warunki dla realizacji imprez plenerowych, koncertów czy pokazów filmowych (zarówno w zakresie infrastruktury, jak i wymaganego sprzętu).</w:t>
      </w:r>
    </w:p>
    <w:p>
      <w:pPr>
        <w:pStyle w:val="Normal"/>
        <w:spacing w:lineRule="auto" w:line="276"/>
        <w:jc w:val="both"/>
        <w:rPr/>
      </w:pPr>
      <w:r>
        <w:rPr/>
        <w:t>Organizacja tego rodzaju przedsięwzięć oraz podniesienie jakości bazy lokalnych placówek kultury</w:t>
        <w:br/>
        <w:t xml:space="preserve"> (w tym dostosowanie do wszystkich grup mieszkańców także osób z niepełnosprawnościami) mogą znacząco wpłynąć na zwiększenie zainteresowania mieszkańców uczestnictwem w życiu społeczno-kulturalnym obszaru. </w:t>
      </w:r>
    </w:p>
    <w:p>
      <w:pPr>
        <w:pStyle w:val="Normal"/>
        <w:rPr/>
      </w:pPr>
      <w:r>
        <w:rPr/>
      </w:r>
    </w:p>
    <w:p>
      <w:pPr>
        <w:pStyle w:val="2poziom"/>
        <w:numPr>
          <w:ilvl w:val="0"/>
          <w:numId w:val="0"/>
        </w:numPr>
        <w:ind w:left="993" w:hanging="710"/>
        <w:rPr/>
      </w:pPr>
      <w:bookmarkStart w:id="99" w:name="_Toc143161909"/>
      <w:r>
        <w:rPr/>
        <w:t>2.16. Poziom świadomości obywatelskiej</w:t>
      </w:r>
      <w:bookmarkEnd w:id="99"/>
    </w:p>
    <w:p>
      <w:pPr>
        <w:pStyle w:val="Normal"/>
        <w:spacing w:lineRule="auto" w:line="276"/>
        <w:jc w:val="both"/>
        <w:rPr/>
      </w:pPr>
      <w:r>
        <w:rPr/>
        <w:t xml:space="preserve">Frekwencja wyborcza w MOF Włocławka zarówno w wyborach samorządowych, jak i parlamentarnych utrzymuje się na nieco niższym poziomie niż średnio w województwie. W 2018 r. w wyborach samorządowych wzięło udział 52,1% upoważnionych do głosowania mieszkańców MOF (przy średniej dla województwa 52,9%) i było to o 4,2 pkt. proc. więcej niż w poprzednich wyborach tj. w 2014r. </w:t>
        <w:br/>
        <w:t xml:space="preserve">W wyborach parlamentarnych </w:t>
      </w:r>
      <w:r>
        <w:rPr>
          <w:szCs w:val="20"/>
        </w:rPr>
        <w:t xml:space="preserve">natomiast swój </w:t>
      </w:r>
      <w:r>
        <w:rPr>
          <w:rStyle w:val="Annotationreference"/>
          <w:sz w:val="20"/>
          <w:szCs w:val="20"/>
        </w:rPr>
        <w:t>gł</w:t>
      </w:r>
      <w:r>
        <w:rPr>
          <w:szCs w:val="20"/>
        </w:rPr>
        <w:t>os</w:t>
      </w:r>
      <w:r>
        <w:rPr/>
        <w:t xml:space="preserve"> oddało 54,9% uprawnionych do głosowania osób (w regionie 58,1%), a frekwencja ta była wyższa o 11,9 pkt. proc. w stosunku do 2015r. Najwyższą frekwencję w wyborach samorządowych zanotowano w gminach wiejskiej Włocławek i Lubanie (odpowiednio 61,5% i 61,2%), a w wyborach parlamentarnych w gminie miejskiej Włocławek (58,6%)</w:t>
        <w:br/>
        <w:t xml:space="preserve"> i gminie miejskiej Kowal (57,0%). Najniższy udział głosujących wśród ogółu upoważnionych </w:t>
        <w:br/>
        <w:t xml:space="preserve">w wyborach samorządowych wykazała gmina Baruchowo (45,2%), a w parlamentarnych gmina Chodecz (43,1% - jedna z najniższych wartości w województwie).  </w:t>
      </w:r>
    </w:p>
    <w:p>
      <w:pPr>
        <w:pStyle w:val="Normal"/>
        <w:spacing w:lineRule="auto" w:line="276"/>
        <w:jc w:val="both"/>
        <w:rPr/>
      </w:pPr>
      <w:r>
        <w:rPr/>
        <w:t xml:space="preserve">Określając poziom rozwoju współodpowiedzialności obywatelskiej przeanalizowano wskaźnik osób zaszczepionych przeciwko wirusowi SARS-CoV2. MOF Włocławka charakteryzuje się niższym </w:t>
        <w:br/>
        <w:t>niż przeciętnie w regionie poziomem realizacji szczepień przeciwko COVID-19. Udział mieszkańców MOF zaszczepionych pełnym cyklem szczepień</w:t>
      </w:r>
      <w:r>
        <w:rPr>
          <w:rStyle w:val="Zakotwiczenieprzypisudolnego"/>
        </w:rPr>
        <w:footnoteReference w:id="35"/>
      </w:r>
      <w:r>
        <w:rPr/>
        <w:t xml:space="preserve">, według stanu na 9.10.2021 r., wyniósł 49,9% </w:t>
        <w:br/>
        <w:t>(dla województwa 52,9%).  Najwy</w:t>
      </w:r>
      <w:r>
        <w:rPr>
          <w:rFonts w:cs="Calibri"/>
        </w:rPr>
        <w:t>ż</w:t>
      </w:r>
      <w:r>
        <w:rPr/>
        <w:t>szy odsetek os</w:t>
      </w:r>
      <w:r>
        <w:rPr>
          <w:rFonts w:cs="Lato"/>
        </w:rPr>
        <w:t>ó</w:t>
      </w:r>
      <w:r>
        <w:rPr/>
        <w:t>b zaszczepionych zanotowano w gminie miejskiej Kowal (56,3%), najni</w:t>
      </w:r>
      <w:r>
        <w:rPr>
          <w:rFonts w:cs="Calibri"/>
        </w:rPr>
        <w:t>ż</w:t>
      </w:r>
      <w:r>
        <w:rPr/>
        <w:t>szy za</w:t>
      </w:r>
      <w:r>
        <w:rPr>
          <w:rFonts w:cs="Calibri"/>
        </w:rPr>
        <w:t>ś</w:t>
      </w:r>
      <w:r>
        <w:rPr/>
        <w:t xml:space="preserve"> w gminie Chodecz (44,4%). </w:t>
      </w:r>
    </w:p>
    <w:p>
      <w:pPr>
        <w:pStyle w:val="TytuMAPiTABEL"/>
        <w:rPr/>
      </w:pPr>
      <w:r>
        <w:rPr/>
      </w:r>
    </w:p>
    <w:p>
      <w:pPr>
        <w:pStyle w:val="TytuMAPiTABEL"/>
        <w:rPr>
          <w:rFonts w:eastAsia="Times New Roman" w:cs="Times New Roman"/>
          <w:lang w:eastAsia="pl-PL"/>
        </w:rPr>
      </w:pPr>
      <w:r>
        <w:rPr/>
        <w:t xml:space="preserve">Tabela 12. </w:t>
      </w:r>
      <w:r>
        <w:rPr>
          <w:rFonts w:eastAsia="Times New Roman" w:cs="Times New Roman"/>
          <w:lang w:eastAsia="pl-PL"/>
        </w:rPr>
        <w:t>Obraz wybranych wskaźników będących wyznacznikami poziomu świadomości obywatelskiej             w MOF Włocławka</w:t>
      </w:r>
    </w:p>
    <w:tbl>
      <w:tblPr>
        <w:tblW w:w="907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690"/>
        <w:gridCol w:w="1421"/>
        <w:gridCol w:w="2320"/>
        <w:gridCol w:w="2321"/>
        <w:gridCol w:w="2320"/>
      </w:tblGrid>
      <w:tr>
        <w:trPr>
          <w:trHeight w:val="477" w:hRule="atLeast"/>
        </w:trPr>
        <w:tc>
          <w:tcPr>
            <w:tcW w:w="2111"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4641"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Frekwencja w I turze wyborów (%)</w:t>
            </w:r>
          </w:p>
        </w:tc>
        <w:tc>
          <w:tcPr>
            <w:tcW w:w="232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Poziom zaszczepienia (%)</w:t>
            </w:r>
          </w:p>
        </w:tc>
      </w:tr>
      <w:tr>
        <w:trPr>
          <w:trHeight w:val="299" w:hRule="atLeast"/>
        </w:trPr>
        <w:tc>
          <w:tcPr>
            <w:tcW w:w="2111"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tcPr>
          <w:p>
            <w:pPr>
              <w:pStyle w:val="Normal"/>
              <w:widowControl w:val="false"/>
              <w:spacing w:lineRule="auto" w:line="240" w:before="40" w:after="40"/>
              <w:jc w:val="center"/>
              <w:rPr>
                <w:rFonts w:eastAsia="Times New Roman" w:cs="Calibri" w:cstheme="minorHAnsi"/>
                <w:b/>
                <w:color w:val="FFFFFF" w:themeColor="background1"/>
                <w:sz w:val="18"/>
                <w:szCs w:val="18"/>
                <w:highlight w:val="darkGray"/>
                <w:lang w:eastAsia="pl-PL"/>
              </w:rPr>
            </w:pPr>
            <w:r>
              <w:rPr>
                <w:rFonts w:eastAsia="Times New Roman" w:cs="Calibri" w:cstheme="minorHAnsi"/>
                <w:b/>
                <w:color w:val="FFFFFF" w:themeColor="background1"/>
                <w:sz w:val="18"/>
                <w:szCs w:val="18"/>
                <w:highlight w:val="darkGray"/>
                <w:lang w:eastAsia="pl-PL"/>
              </w:rPr>
            </w:r>
          </w:p>
        </w:tc>
        <w:tc>
          <w:tcPr>
            <w:tcW w:w="232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 xml:space="preserve">samorządowych </w:t>
            </w:r>
          </w:p>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w 2018 r.</w:t>
            </w:r>
          </w:p>
        </w:tc>
        <w:tc>
          <w:tcPr>
            <w:tcW w:w="232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 xml:space="preserve">parlamentarnych </w:t>
            </w:r>
          </w:p>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w 2019 r.</w:t>
            </w:r>
          </w:p>
        </w:tc>
        <w:tc>
          <w:tcPr>
            <w:tcW w:w="2320"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stan na 9.10.2021 r.</w:t>
            </w:r>
          </w:p>
        </w:tc>
      </w:tr>
      <w:tr>
        <w:trPr>
          <w:trHeight w:val="299" w:hRule="atLeast"/>
        </w:trPr>
        <w:tc>
          <w:tcPr>
            <w:tcW w:w="2111"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t>MOF Włocławka</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52,1</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54,9</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49,9</w:t>
            </w:r>
          </w:p>
        </w:tc>
      </w:tr>
      <w:tr>
        <w:trPr>
          <w:trHeight w:val="299" w:hRule="atLeast"/>
        </w:trPr>
        <w:tc>
          <w:tcPr>
            <w:tcW w:w="690"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tcPr>
          <w:p>
            <w:pPr>
              <w:pStyle w:val="Normal"/>
              <w:widowControl w:val="false"/>
              <w:spacing w:lineRule="auto" w:line="240" w:before="40" w:after="40"/>
              <w:ind w:left="113" w:right="113" w:hanging="0"/>
              <w:jc w:val="center"/>
              <w:rPr>
                <w:rFonts w:eastAsia="MS Mincho" w:cs="Calibri" w:cstheme="minorHAnsi"/>
                <w:b/>
                <w:bCs/>
                <w:sz w:val="18"/>
                <w:szCs w:val="18"/>
              </w:rPr>
            </w:pPr>
            <w:r>
              <w:rPr>
                <w:rFonts w:cs="Calibri" w:cstheme="minorHAnsi"/>
                <w:b/>
                <w:sz w:val="18"/>
                <w:szCs w:val="18"/>
              </w:rPr>
              <w:t>Gminy</w:t>
            </w:r>
          </w:p>
          <w:p>
            <w:pPr>
              <w:pStyle w:val="Normal"/>
              <w:widowControl w:val="false"/>
              <w:spacing w:lineRule="auto" w:line="240" w:before="40" w:after="40"/>
              <w:ind w:left="113" w:right="113" w:hanging="0"/>
              <w:jc w:val="center"/>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Baruchowo</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45,2</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50,5</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50,9</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Boniewo </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58,7</w:t>
            </w:r>
          </w:p>
        </w:tc>
        <w:tc>
          <w:tcPr>
            <w:tcW w:w="23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45,8</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50,8</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Brześć Kujawski</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52,7</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53,1</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48,2</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Choceń</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54,9</w:t>
            </w:r>
          </w:p>
        </w:tc>
        <w:tc>
          <w:tcPr>
            <w:tcW w:w="23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45,7</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48,4</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Chodecz </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49,6</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43,1</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44,4</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Fabianki </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46,9</w:t>
            </w:r>
          </w:p>
        </w:tc>
        <w:tc>
          <w:tcPr>
            <w:tcW w:w="23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53,2</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46,6</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Izbica Kujawska </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57,4</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49,0</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47,6</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Kowal (miejska)</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58,6</w:t>
            </w:r>
          </w:p>
        </w:tc>
        <w:tc>
          <w:tcPr>
            <w:tcW w:w="23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57,0</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56,3</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Kowal (wiejska)</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52,2</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48,2</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50,0</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Lubanie</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61,2</w:t>
            </w:r>
          </w:p>
        </w:tc>
        <w:tc>
          <w:tcPr>
            <w:tcW w:w="23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55,5</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45,9</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 xml:space="preserve">Lubień Kujawski </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59,4</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44,5</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49,1</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Lubraniec</w:t>
            </w:r>
          </w:p>
        </w:tc>
        <w:tc>
          <w:tcPr>
            <w:tcW w:w="2320"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57,8</w:t>
            </w:r>
          </w:p>
        </w:tc>
        <w:tc>
          <w:tcPr>
            <w:tcW w:w="2321"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51,7</w:t>
            </w:r>
          </w:p>
        </w:tc>
        <w:tc>
          <w:tcPr>
            <w:tcW w:w="2320" w:type="dxa"/>
            <w:tcBorders>
              <w:top w:val="single" w:sz="12" w:space="0" w:color="AAAAAA"/>
              <w:left w:val="single" w:sz="12" w:space="0" w:color="AAAAAA"/>
              <w:bottom w:val="single" w:sz="12" w:space="0" w:color="AAAAAA"/>
              <w:right w:val="single" w:sz="12" w:space="0" w:color="AAAAAA"/>
            </w:tcBorders>
            <w:shd w:color="auto" w:fill="FFFFFF" w:themeFill="background1" w:val="clear"/>
            <w:vAlign w:val="center"/>
          </w:tcPr>
          <w:p>
            <w:pPr>
              <w:pStyle w:val="Normal"/>
              <w:widowControl w:val="false"/>
              <w:spacing w:lineRule="auto" w:line="240" w:before="40" w:after="40"/>
              <w:jc w:val="center"/>
              <w:rPr>
                <w:rFonts w:eastAsia="MS Mincho" w:cs="Calibri" w:cstheme="minorHAnsi"/>
                <w:sz w:val="18"/>
                <w:szCs w:val="18"/>
              </w:rPr>
            </w:pPr>
            <w:r>
              <w:rPr>
                <w:rFonts w:cs="Calibri" w:cstheme="minorHAnsi"/>
                <w:sz w:val="18"/>
                <w:szCs w:val="18"/>
              </w:rPr>
              <w:t>52,8</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cs="Calibri" w:cstheme="minorHAnsi"/>
                <w:b/>
                <w:sz w:val="18"/>
                <w:szCs w:val="18"/>
              </w:rPr>
            </w:pPr>
            <w:r>
              <w:rPr>
                <w:rFonts w:cs="Calibri" w:cstheme="minorHAnsi"/>
                <w:b/>
                <w:sz w:val="18"/>
                <w:szCs w:val="18"/>
              </w:rPr>
              <w:t>Włocławek (miejska)</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eastAsia="Times New Roman" w:cs="Calibri" w:cstheme="minorHAnsi"/>
                <w:sz w:val="18"/>
                <w:szCs w:val="18"/>
                <w:lang w:eastAsia="pl-PL"/>
              </w:rPr>
              <w:t>49,7</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eastAsia="Times New Roman" w:cs="Calibri" w:cstheme="minorHAnsi"/>
                <w:sz w:val="18"/>
                <w:szCs w:val="18"/>
                <w:lang w:eastAsia="pl-PL"/>
              </w:rPr>
              <w:t>58,6</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eastAsia="Times New Roman" w:cs="Calibri" w:cstheme="minorHAnsi"/>
                <w:sz w:val="18"/>
                <w:szCs w:val="18"/>
                <w:lang w:eastAsia="pl-PL"/>
              </w:rPr>
              <w:t>50,9</w:t>
            </w:r>
          </w:p>
        </w:tc>
      </w:tr>
      <w:tr>
        <w:trPr>
          <w:trHeight w:val="299" w:hRule="atLeast"/>
        </w:trPr>
        <w:tc>
          <w:tcPr>
            <w:tcW w:w="690"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4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Włocławek (wiejska)</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61,5</w:t>
            </w:r>
          </w:p>
        </w:tc>
        <w:tc>
          <w:tcPr>
            <w:tcW w:w="232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55,2</w:t>
            </w:r>
          </w:p>
        </w:tc>
        <w:tc>
          <w:tcPr>
            <w:tcW w:w="2320"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47,0</w:t>
            </w:r>
          </w:p>
        </w:tc>
      </w:tr>
      <w:tr>
        <w:trPr>
          <w:trHeight w:val="299" w:hRule="atLeast"/>
        </w:trPr>
        <w:tc>
          <w:tcPr>
            <w:tcW w:w="2111"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Województwo kujawsko-pomorskie</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52,9</w:t>
            </w:r>
          </w:p>
        </w:tc>
        <w:tc>
          <w:tcPr>
            <w:tcW w:w="232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58,1</w:t>
            </w:r>
          </w:p>
        </w:tc>
        <w:tc>
          <w:tcPr>
            <w:tcW w:w="2320"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52,9</w:t>
            </w:r>
          </w:p>
        </w:tc>
      </w:tr>
    </w:tbl>
    <w:p>
      <w:pPr>
        <w:pStyle w:val="Normal"/>
        <w:spacing w:lineRule="auto" w:line="240" w:before="60" w:after="0"/>
        <w:rPr>
          <w:rFonts w:eastAsia="MS Mincho" w:cs="Calibri" w:cstheme="minorHAnsi"/>
          <w:iCs/>
          <w:sz w:val="20"/>
          <w:szCs w:val="20"/>
        </w:rPr>
      </w:pPr>
      <w:r>
        <w:rPr>
          <w:rFonts w:eastAsia="MS Mincho"/>
          <w:sz w:val="20"/>
          <w:szCs w:val="20"/>
        </w:rPr>
        <w:t xml:space="preserve">Źródło: </w:t>
      </w:r>
      <w:r>
        <w:rPr>
          <w:rFonts w:eastAsia="MS Mincho" w:cs="Calibri" w:cstheme="minorHAnsi"/>
          <w:iCs/>
          <w:sz w:val="20"/>
          <w:szCs w:val="20"/>
        </w:rPr>
        <w:t xml:space="preserve">Opracowanie KPBPPiR o. Bydgoszcz na podstawie danych https://wybory2018.pkw.gov.pl, https://sejmsenat2019.pkw.gov.pl/sejmsenat2019/, </w:t>
      </w:r>
      <w:r>
        <w:rPr>
          <w:rStyle w:val="Czeinternetowe"/>
          <w:rFonts w:eastAsia="MS Mincho" w:cs="Calibri" w:cstheme="minorHAnsi"/>
          <w:iCs/>
          <w:sz w:val="20"/>
          <w:szCs w:val="20"/>
        </w:rPr>
        <w:t>https://www.gov.pl/web/szczepienia-gmin/sprawdz-poziomwyszczepienia-mieszkancow-gmin</w:t>
      </w:r>
    </w:p>
    <w:p>
      <w:pPr>
        <w:pStyle w:val="Normal"/>
        <w:rPr/>
      </w:pPr>
      <w:r>
        <w:rPr/>
      </w:r>
    </w:p>
    <w:p>
      <w:pPr>
        <w:pStyle w:val="2poziom"/>
        <w:numPr>
          <w:ilvl w:val="0"/>
          <w:numId w:val="0"/>
        </w:numPr>
        <w:ind w:left="283" w:hanging="0"/>
        <w:rPr/>
      </w:pPr>
      <w:bookmarkStart w:id="100" w:name="_Toc143161910"/>
      <w:r>
        <w:rPr/>
        <w:t>2.17.  Zasoby mieszkaniowe</w:t>
      </w:r>
      <w:bookmarkEnd w:id="100"/>
      <w:r>
        <w:rPr/>
        <w:t xml:space="preserve"> </w:t>
      </w:r>
    </w:p>
    <w:p>
      <w:pPr>
        <w:pStyle w:val="Normal"/>
        <w:spacing w:lineRule="auto" w:line="276"/>
        <w:jc w:val="both"/>
        <w:rPr>
          <w:rFonts w:eastAsia="MS Mincho"/>
        </w:rPr>
      </w:pPr>
      <w:r>
        <w:rPr/>
        <w:t xml:space="preserve">W 2020 r. na zasoby mieszkaniowe MOF Włocławka składały się 74 393 mieszkania co stanowi 9,7% zasobów regionu. W latach 2010-2020 na terenie MOF liczba mieszkań zwiększyła się o 3 570 tj. o 5,0% (w województwie o 9,2%). Średnia trzyletnia liczby mieszkań oddanych do użytkowania na 1 tys. mieszkańców w MOF </w:t>
      </w:r>
      <w:r>
        <w:rPr>
          <w:rFonts w:eastAsia="MS Mincho"/>
        </w:rPr>
        <w:t xml:space="preserve">kształtowała się poniżej wartości dla województwa </w:t>
      </w:r>
      <w:r>
        <w:rPr/>
        <w:t xml:space="preserve">i dla lat 2018-2020 wyniosła 2,2/1 tys. osób (dla województwa 4,0/1 tys. osób). Najwyższe wartości analizowanego wskaźnika zanotowano w gminie Fabianki oraz gminie wiejskiej Włocławek (odpowiednio 5,5 i 5,2/1 tys. osób), najniższe z kolei w gminach Lubień Kujawski i Izbica Kujawska (odpowiednio 1,0 i 1,2/1 tys. osób). Pomimo niższego poziomu liczby mieszkań oddanych do użytkowania, w obrębie MOF Włocławka zauważa się wyższy poziom nasycenia mieszkaniami niż przeciętnie w regionie. W 2020 r. liczba mieszkań w przeliczeniu na 1 tys. mieszkańców, wynosiła 383,1 w MOF (dla województwa 372,6/1 tys. mieszkańców). Najwyższe wartości analizowanego wskaźnika zanotowano w gminie miejskiej Włocławek (431,0/1 tys. mieszkańców), z kolei najniższe w gminie Lubanie (283,5/1 tys. mieszkańców). </w:t>
      </w:r>
      <w:r>
        <w:rPr>
          <w:rFonts w:eastAsia="MS Mincho"/>
        </w:rPr>
        <w:t>Poniżej średniej dla regionu kształtowała się natomiast przeciętna powierzchnia użytkowa mieszkania na 1 osobę. W 2020 r. była równa 25,9 m</w:t>
      </w:r>
      <w:r>
        <w:rPr>
          <w:rFonts w:eastAsia="MS Mincho"/>
          <w:vertAlign w:val="superscript"/>
        </w:rPr>
        <w:t>2</w:t>
      </w:r>
      <w:r>
        <w:rPr>
          <w:rFonts w:eastAsia="MS Mincho"/>
        </w:rPr>
        <w:t>/osobę (w województwie 26,4 m</w:t>
      </w:r>
      <w:r>
        <w:rPr>
          <w:rFonts w:eastAsia="MS Mincho"/>
          <w:vertAlign w:val="superscript"/>
        </w:rPr>
        <w:t>2</w:t>
      </w:r>
      <w:r>
        <w:rPr>
          <w:rFonts w:eastAsia="MS Mincho"/>
        </w:rPr>
        <w:t>/osobę).</w:t>
      </w:r>
    </w:p>
    <w:p>
      <w:pPr>
        <w:pStyle w:val="Normal"/>
        <w:spacing w:lineRule="auto" w:line="276"/>
        <w:jc w:val="both"/>
        <w:rPr/>
      </w:pPr>
      <w:r>
        <w:rPr/>
      </w:r>
    </w:p>
    <w:p>
      <w:pPr>
        <w:pStyle w:val="TytuMAPiTABEL"/>
        <w:rPr>
          <w:lang w:eastAsia="pl-PL"/>
        </w:rPr>
      </w:pPr>
      <w:r>
        <w:rPr/>
        <w:t xml:space="preserve">Tabela 13. </w:t>
      </w:r>
      <w:r>
        <w:rPr>
          <w:lang w:eastAsia="pl-PL"/>
        </w:rPr>
        <w:t>Zasoby mieszkaniowe i rozwój mieszkalnictwa w MOF Włocławka</w:t>
      </w:r>
    </w:p>
    <w:tbl>
      <w:tblPr>
        <w:tblW w:w="907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19"/>
        <w:gridCol w:w="1592"/>
        <w:gridCol w:w="1391"/>
        <w:gridCol w:w="1393"/>
        <w:gridCol w:w="1391"/>
        <w:gridCol w:w="1393"/>
        <w:gridCol w:w="1392"/>
      </w:tblGrid>
      <w:tr>
        <w:trPr>
          <w:trHeight w:val="477" w:hRule="atLeast"/>
        </w:trPr>
        <w:tc>
          <w:tcPr>
            <w:tcW w:w="2111" w:type="dxa"/>
            <w:gridSpan w:val="2"/>
            <w:vMerge w:val="restart"/>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Jednostka</w:t>
            </w:r>
          </w:p>
        </w:tc>
        <w:tc>
          <w:tcPr>
            <w:tcW w:w="2784"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Liczba mieszkań/1 tys. ludności</w:t>
            </w:r>
          </w:p>
        </w:tc>
        <w:tc>
          <w:tcPr>
            <w:tcW w:w="2784" w:type="dxa"/>
            <w:gridSpan w:val="2"/>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Przeciętna powierzchnia użytkowa mieszkania (m</w:t>
            </w:r>
            <w:r>
              <w:rPr>
                <w:rFonts w:eastAsia="Times New Roman" w:cs="Calibri" w:cstheme="minorHAnsi"/>
                <w:b/>
                <w:color w:val="FFFFFF" w:themeColor="background1"/>
                <w:sz w:val="18"/>
                <w:szCs w:val="18"/>
                <w:vertAlign w:val="superscript"/>
                <w:lang w:eastAsia="pl-PL"/>
              </w:rPr>
              <w:t>2</w:t>
            </w:r>
            <w:r>
              <w:rPr>
                <w:rFonts w:eastAsia="Times New Roman" w:cs="Calibri" w:cstheme="minorHAnsi"/>
                <w:b/>
                <w:color w:val="FFFFFF" w:themeColor="background1"/>
                <w:sz w:val="18"/>
                <w:szCs w:val="18"/>
                <w:lang w:eastAsia="pl-PL"/>
              </w:rPr>
              <w:t>)/ 1 osobę</w:t>
            </w:r>
          </w:p>
        </w:tc>
        <w:tc>
          <w:tcPr>
            <w:tcW w:w="139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Przeciętna liczba mieszkań oddanych do użytku / 1 tys. ludności</w:t>
            </w:r>
          </w:p>
        </w:tc>
      </w:tr>
      <w:tr>
        <w:trPr>
          <w:trHeight w:val="299" w:hRule="atLeast"/>
        </w:trPr>
        <w:tc>
          <w:tcPr>
            <w:tcW w:w="2111" w:type="dxa"/>
            <w:gridSpan w:val="2"/>
            <w:vMerge w:val="continue"/>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r>
          </w:p>
        </w:tc>
        <w:tc>
          <w:tcPr>
            <w:tcW w:w="139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139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1391"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2010</w:t>
            </w:r>
          </w:p>
        </w:tc>
        <w:tc>
          <w:tcPr>
            <w:tcW w:w="1393"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2020</w:t>
            </w:r>
          </w:p>
        </w:tc>
        <w:tc>
          <w:tcPr>
            <w:tcW w:w="1392" w:type="dxa"/>
            <w:tcBorders>
              <w:top w:val="single" w:sz="12" w:space="0" w:color="AAAAAA"/>
              <w:left w:val="single" w:sz="12" w:space="0" w:color="AAAAAA"/>
              <w:bottom w:val="single" w:sz="12" w:space="0" w:color="AAAAAA"/>
              <w:right w:val="single" w:sz="12" w:space="0" w:color="AAAAAA"/>
            </w:tcBorders>
            <w:shd w:color="auto" w:fill="10328F" w:val="clear"/>
            <w:vAlign w:val="center"/>
          </w:tcPr>
          <w:p>
            <w:pPr>
              <w:pStyle w:val="Normal"/>
              <w:widowControl w:val="false"/>
              <w:spacing w:lineRule="auto" w:line="240" w:before="40" w:after="40"/>
              <w:jc w:val="center"/>
              <w:rPr>
                <w:rFonts w:eastAsia="Times New Roman" w:cs="Calibri" w:cstheme="minorHAnsi"/>
                <w:b/>
                <w:color w:val="FFFFFF" w:themeColor="background1"/>
                <w:sz w:val="18"/>
                <w:szCs w:val="18"/>
                <w:lang w:eastAsia="pl-PL"/>
              </w:rPr>
            </w:pPr>
            <w:r>
              <w:rPr>
                <w:rFonts w:eastAsia="Times New Roman" w:cs="Calibri" w:cstheme="minorHAnsi"/>
                <w:b/>
                <w:color w:val="FFFFFF" w:themeColor="background1"/>
                <w:sz w:val="18"/>
                <w:szCs w:val="18"/>
                <w:lang w:eastAsia="pl-PL"/>
              </w:rPr>
              <w:t>2018-2020</w:t>
            </w:r>
          </w:p>
        </w:tc>
      </w:tr>
      <w:tr>
        <w:trPr>
          <w:trHeight w:val="299" w:hRule="atLeast"/>
        </w:trPr>
        <w:tc>
          <w:tcPr>
            <w:tcW w:w="2111" w:type="dxa"/>
            <w:gridSpan w:val="2"/>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rPr>
                <w:rFonts w:cs="Calibri" w:cstheme="minorHAnsi"/>
                <w:b/>
                <w:sz w:val="18"/>
                <w:szCs w:val="18"/>
              </w:rPr>
            </w:pPr>
            <w:r>
              <w:rPr>
                <w:rFonts w:eastAsia="MS Mincho" w:cs="Calibri" w:cstheme="minorHAnsi"/>
                <w:b/>
                <w:bCs/>
                <w:sz w:val="18"/>
                <w:szCs w:val="18"/>
              </w:rPr>
              <w:t>MOF Włocławka</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346,6</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383,1</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22,6</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25,9</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2,2</w:t>
            </w:r>
          </w:p>
        </w:tc>
      </w:tr>
      <w:tr>
        <w:trPr>
          <w:trHeight w:val="299" w:hRule="atLeast"/>
        </w:trPr>
        <w:tc>
          <w:tcPr>
            <w:tcW w:w="519"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extDirection w:val="btLr"/>
            <w:vAlign w:val="center"/>
          </w:tcPr>
          <w:p>
            <w:pPr>
              <w:pStyle w:val="Normal"/>
              <w:widowControl w:val="false"/>
              <w:spacing w:lineRule="auto" w:line="240" w:before="40" w:after="40"/>
              <w:ind w:left="113" w:right="113" w:hanging="0"/>
              <w:jc w:val="center"/>
              <w:rPr>
                <w:rFonts w:eastAsia="MS Mincho" w:cs="Calibri" w:cstheme="minorHAnsi"/>
                <w:b/>
                <w:bCs/>
                <w:sz w:val="18"/>
                <w:szCs w:val="18"/>
              </w:rPr>
            </w:pPr>
            <w:r>
              <w:rPr>
                <w:rFonts w:eastAsia="MS Mincho" w:cs="Calibri" w:cstheme="minorHAnsi"/>
                <w:b/>
                <w:bCs/>
                <w:sz w:val="18"/>
                <w:szCs w:val="18"/>
              </w:rPr>
              <w:t>Gminy</w:t>
            </w:r>
          </w:p>
        </w:tc>
        <w:tc>
          <w:tcPr>
            <w:tcW w:w="15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Baruchowo</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291,9</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325,5</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24,0</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27,9</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2,0</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Boniewo </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299,0</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326,7</w:t>
            </w:r>
          </w:p>
        </w:tc>
        <w:tc>
          <w:tcPr>
            <w:tcW w:w="139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22,8</w:t>
            </w:r>
          </w:p>
        </w:tc>
        <w:tc>
          <w:tcPr>
            <w:tcW w:w="1393"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25,4</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1,5</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Brześć Kujawski</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308,3</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338,1</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23,4</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27,3</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2,8</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Choceń</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304,3</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332,0</w:t>
            </w:r>
          </w:p>
        </w:tc>
        <w:tc>
          <w:tcPr>
            <w:tcW w:w="139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24,1</w:t>
            </w:r>
          </w:p>
        </w:tc>
        <w:tc>
          <w:tcPr>
            <w:tcW w:w="1393"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27,2</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3,1</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Chodecz </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293,3</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319,7</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22,7</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25,3</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1,3</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Fabianki </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290,3</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315,2</w:t>
            </w:r>
          </w:p>
        </w:tc>
        <w:tc>
          <w:tcPr>
            <w:tcW w:w="139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27,7</w:t>
            </w:r>
          </w:p>
        </w:tc>
        <w:tc>
          <w:tcPr>
            <w:tcW w:w="1393"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32,2</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5,5</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 xml:space="preserve">Izbica Kujawska </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285,3</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308,6</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22,2</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24,8</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1,2</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Kowal (miejska)</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320,2</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346,6</w:t>
            </w:r>
          </w:p>
        </w:tc>
        <w:tc>
          <w:tcPr>
            <w:tcW w:w="139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25,1</w:t>
            </w:r>
          </w:p>
        </w:tc>
        <w:tc>
          <w:tcPr>
            <w:tcW w:w="1393"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28,7</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2,3</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Times New Roman" w:cs="Calibri" w:cstheme="minorHAnsi"/>
                <w:b/>
                <w:bCs/>
                <w:sz w:val="18"/>
                <w:szCs w:val="18"/>
                <w:lang w:eastAsia="pl-PL"/>
              </w:rPr>
            </w:pPr>
            <w:r>
              <w:rPr>
                <w:rFonts w:cs="Calibri" w:cstheme="minorHAnsi"/>
                <w:b/>
                <w:sz w:val="18"/>
                <w:szCs w:val="18"/>
              </w:rPr>
              <w:t>Kowal (wiejska)</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306,9</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337,7</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26,0</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29,8</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3,7</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Lubanie</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258,2</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283,5</w:t>
            </w:r>
          </w:p>
        </w:tc>
        <w:tc>
          <w:tcPr>
            <w:tcW w:w="1391"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24,6</w:t>
            </w:r>
          </w:p>
        </w:tc>
        <w:tc>
          <w:tcPr>
            <w:tcW w:w="1393" w:type="dxa"/>
            <w:tcBorders>
              <w:top w:val="single" w:sz="12" w:space="0" w:color="AAAAAA"/>
              <w:left w:val="single" w:sz="12" w:space="0" w:color="AAAAAA"/>
              <w:bottom w:val="single" w:sz="12" w:space="0" w:color="AAAAAA"/>
              <w:right w:val="single" w:sz="12" w:space="0" w:color="AAAAAA"/>
            </w:tcBorders>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27,7</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2,1</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eastAsia="MS Mincho" w:cs="Calibri" w:cstheme="minorHAnsi"/>
                <w:b/>
                <w:bCs/>
                <w:sz w:val="18"/>
                <w:szCs w:val="18"/>
              </w:rPr>
            </w:pPr>
            <w:r>
              <w:rPr>
                <w:rFonts w:cs="Calibri" w:cstheme="minorHAnsi"/>
                <w:b/>
                <w:sz w:val="18"/>
                <w:szCs w:val="18"/>
              </w:rPr>
              <w:t xml:space="preserve">Lubień Kujawski </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280,4</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305,7</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21,3</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23,9</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1,0</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cs="Calibri" w:cstheme="minorHAnsi"/>
                <w:b/>
                <w:sz w:val="18"/>
                <w:szCs w:val="18"/>
              </w:rPr>
            </w:pPr>
            <w:r>
              <w:rPr>
                <w:rFonts w:cs="Calibri" w:cstheme="minorHAnsi"/>
                <w:b/>
                <w:sz w:val="18"/>
                <w:szCs w:val="18"/>
              </w:rPr>
              <w:t>Lubraniec</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294,5</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Times New Roman" w:cs="Calibri" w:cstheme="minorHAnsi"/>
                <w:sz w:val="18"/>
                <w:szCs w:val="18"/>
                <w:lang w:eastAsia="pl-PL"/>
              </w:rPr>
            </w:pPr>
            <w:r>
              <w:rPr>
                <w:rFonts w:cs="Calibri" w:cstheme="minorHAnsi"/>
                <w:sz w:val="18"/>
                <w:szCs w:val="18"/>
              </w:rPr>
              <w:t>325,7</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24,3</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27,5</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eastAsia="MS Mincho" w:cs="Calibri" w:cstheme="minorHAnsi"/>
                <w:bCs/>
                <w:sz w:val="18"/>
                <w:szCs w:val="18"/>
              </w:rPr>
            </w:pPr>
            <w:r>
              <w:rPr>
                <w:rFonts w:cs="Calibri" w:cstheme="minorHAnsi"/>
                <w:sz w:val="18"/>
                <w:szCs w:val="18"/>
              </w:rPr>
              <w:t>1,5</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val="false"/>
              <w:spacing w:lineRule="auto" w:line="240" w:before="40" w:after="40"/>
              <w:rPr>
                <w:rFonts w:cs="Calibri" w:cstheme="minorHAnsi"/>
                <w:b/>
                <w:sz w:val="18"/>
                <w:szCs w:val="18"/>
              </w:rPr>
            </w:pPr>
            <w:r>
              <w:rPr>
                <w:rFonts w:cs="Calibri" w:cstheme="minorHAnsi"/>
                <w:b/>
                <w:sz w:val="18"/>
                <w:szCs w:val="18"/>
              </w:rPr>
              <w:t>Włocławek (miejska)</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385,4</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431,0</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21,5</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24,4</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cs="Calibri" w:cstheme="minorHAnsi"/>
                <w:sz w:val="18"/>
                <w:szCs w:val="18"/>
              </w:rPr>
            </w:pPr>
            <w:r>
              <w:rPr>
                <w:rFonts w:cs="Calibri" w:cstheme="minorHAnsi"/>
                <w:sz w:val="18"/>
                <w:szCs w:val="18"/>
              </w:rPr>
              <w:t>1,8</w:t>
            </w:r>
          </w:p>
        </w:tc>
      </w:tr>
      <w:tr>
        <w:trPr>
          <w:trHeight w:val="299" w:hRule="atLeast"/>
        </w:trPr>
        <w:tc>
          <w:tcPr>
            <w:tcW w:w="519"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MS Mincho" w:cs="Calibri" w:cstheme="minorHAnsi"/>
                <w:b/>
                <w:bCs/>
                <w:sz w:val="18"/>
                <w:szCs w:val="18"/>
              </w:rPr>
            </w:pPr>
            <w:r>
              <w:rPr>
                <w:rFonts w:eastAsia="MS Mincho" w:cs="Calibri" w:cstheme="minorHAnsi"/>
                <w:b/>
                <w:bCs/>
                <w:sz w:val="18"/>
                <w:szCs w:val="18"/>
              </w:rPr>
            </w:r>
          </w:p>
        </w:tc>
        <w:tc>
          <w:tcPr>
            <w:tcW w:w="15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rPr>
                <w:rFonts w:cs="Calibri" w:cstheme="minorHAnsi"/>
                <w:b/>
                <w:sz w:val="18"/>
                <w:szCs w:val="18"/>
              </w:rPr>
            </w:pPr>
            <w:r>
              <w:rPr>
                <w:rFonts w:cs="Calibri" w:cstheme="minorHAnsi"/>
                <w:b/>
                <w:sz w:val="18"/>
                <w:szCs w:val="18"/>
              </w:rPr>
              <w:t>Włocławek (wiejska)</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cs="Calibri" w:cstheme="minorHAnsi"/>
                <w:sz w:val="18"/>
                <w:szCs w:val="18"/>
              </w:rPr>
            </w:pPr>
            <w:r>
              <w:rPr>
                <w:rFonts w:cs="Calibri" w:cstheme="minorHAnsi"/>
                <w:sz w:val="18"/>
                <w:szCs w:val="18"/>
              </w:rPr>
              <w:t>298,4</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cs="Calibri" w:cstheme="minorHAnsi"/>
                <w:sz w:val="18"/>
                <w:szCs w:val="18"/>
              </w:rPr>
            </w:pPr>
            <w:r>
              <w:rPr>
                <w:rFonts w:cs="Calibri" w:cstheme="minorHAnsi"/>
                <w:sz w:val="18"/>
                <w:szCs w:val="18"/>
              </w:rPr>
              <w:t>327,1</w:t>
            </w:r>
          </w:p>
        </w:tc>
        <w:tc>
          <w:tcPr>
            <w:tcW w:w="1391"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cs="Calibri" w:cstheme="minorHAnsi"/>
                <w:sz w:val="18"/>
                <w:szCs w:val="18"/>
              </w:rPr>
            </w:pPr>
            <w:r>
              <w:rPr>
                <w:rFonts w:cs="Calibri" w:cstheme="minorHAnsi"/>
                <w:sz w:val="18"/>
                <w:szCs w:val="18"/>
              </w:rPr>
              <w:t>26,2</w:t>
            </w:r>
          </w:p>
        </w:tc>
        <w:tc>
          <w:tcPr>
            <w:tcW w:w="1393"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cs="Calibri" w:cstheme="minorHAnsi"/>
                <w:sz w:val="18"/>
                <w:szCs w:val="18"/>
              </w:rPr>
            </w:pPr>
            <w:r>
              <w:rPr>
                <w:rFonts w:cs="Calibri" w:cstheme="minorHAnsi"/>
                <w:sz w:val="18"/>
                <w:szCs w:val="18"/>
              </w:rPr>
              <w:t>31,0</w:t>
            </w:r>
          </w:p>
        </w:tc>
        <w:tc>
          <w:tcPr>
            <w:tcW w:w="1392" w:type="dxa"/>
            <w:tcBorders>
              <w:top w:val="single" w:sz="12" w:space="0" w:color="AAAAAA"/>
              <w:left w:val="single" w:sz="12" w:space="0" w:color="AAAAAA"/>
              <w:bottom w:val="single" w:sz="12" w:space="0" w:color="AAAAAA"/>
              <w:right w:val="single" w:sz="12" w:space="0" w:color="AAAAAA"/>
            </w:tcBorders>
            <w:shd w:color="auto" w:fill="auto" w:val="clear"/>
          </w:tcPr>
          <w:p>
            <w:pPr>
              <w:pStyle w:val="Normal"/>
              <w:widowControl w:val="false"/>
              <w:spacing w:lineRule="auto" w:line="240" w:before="40" w:after="40"/>
              <w:jc w:val="center"/>
              <w:rPr>
                <w:rFonts w:cs="Calibri" w:cstheme="minorHAnsi"/>
                <w:sz w:val="18"/>
                <w:szCs w:val="18"/>
              </w:rPr>
            </w:pPr>
            <w:r>
              <w:rPr>
                <w:rFonts w:cs="Calibri" w:cstheme="minorHAnsi"/>
                <w:sz w:val="18"/>
                <w:szCs w:val="18"/>
              </w:rPr>
              <w:t>5,2</w:t>
            </w:r>
          </w:p>
        </w:tc>
      </w:tr>
      <w:tr>
        <w:trPr>
          <w:trHeight w:val="299" w:hRule="atLeast"/>
        </w:trPr>
        <w:tc>
          <w:tcPr>
            <w:tcW w:w="2111" w:type="dxa"/>
            <w:gridSpan w:val="2"/>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rPr>
                <w:rFonts w:eastAsia="Times New Roman" w:cs="Calibri" w:cstheme="minorHAnsi"/>
                <w:b/>
                <w:bCs/>
                <w:sz w:val="18"/>
                <w:szCs w:val="18"/>
                <w:lang w:eastAsia="pl-PL"/>
              </w:rPr>
            </w:pPr>
            <w:r>
              <w:rPr>
                <w:rFonts w:eastAsia="MS Mincho" w:cs="Calibri" w:cstheme="minorHAnsi"/>
                <w:b/>
                <w:bCs/>
                <w:sz w:val="18"/>
                <w:szCs w:val="18"/>
              </w:rPr>
              <w:t>Województwo kujawsko-pomorskie</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335,4</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372,6</w:t>
            </w:r>
          </w:p>
        </w:tc>
        <w:tc>
          <w:tcPr>
            <w:tcW w:w="1391"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23,0</w:t>
            </w:r>
          </w:p>
        </w:tc>
        <w:tc>
          <w:tcPr>
            <w:tcW w:w="1393"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26,4</w:t>
            </w:r>
          </w:p>
        </w:tc>
        <w:tc>
          <w:tcPr>
            <w:tcW w:w="1392"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val="false"/>
              <w:spacing w:lineRule="auto" w:line="240" w:before="40" w:after="40"/>
              <w:jc w:val="center"/>
              <w:rPr>
                <w:rFonts w:eastAsia="Times New Roman" w:cs="Calibri" w:cstheme="minorHAnsi"/>
                <w:sz w:val="18"/>
                <w:szCs w:val="18"/>
                <w:lang w:eastAsia="pl-PL"/>
              </w:rPr>
            </w:pPr>
            <w:r>
              <w:rPr>
                <w:rFonts w:eastAsia="Times New Roman" w:cs="Calibri" w:cstheme="minorHAnsi"/>
                <w:sz w:val="18"/>
                <w:szCs w:val="18"/>
                <w:lang w:eastAsia="pl-PL"/>
              </w:rPr>
              <w:t>4,0</w:t>
            </w:r>
          </w:p>
        </w:tc>
      </w:tr>
    </w:tbl>
    <w:p>
      <w:pPr>
        <w:pStyle w:val="RdoTABEL"/>
        <w:rPr/>
      </w:pPr>
      <w:r>
        <w:rPr/>
        <w:t>Źródło: Opracowanie KPBPPiR o. Bydgoszcz na podstawie danych GUS</w:t>
      </w:r>
    </w:p>
    <w:p>
      <w:pPr>
        <w:pStyle w:val="Normal"/>
        <w:rPr/>
      </w:pPr>
      <w:r>
        <w:rPr/>
      </w:r>
    </w:p>
    <w:p>
      <w:pPr>
        <w:pStyle w:val="2poziom"/>
        <w:numPr>
          <w:ilvl w:val="0"/>
          <w:numId w:val="0"/>
        </w:numPr>
        <w:ind w:left="283" w:hanging="0"/>
        <w:rPr>
          <w:rFonts w:eastAsia="MS Mincho"/>
        </w:rPr>
      </w:pPr>
      <w:bookmarkStart w:id="101" w:name="_Toc143161911"/>
      <w:r>
        <w:rPr>
          <w:rFonts w:eastAsia="MS Mincho"/>
        </w:rPr>
        <w:t>2.18. Rewitalizacja i odnowa przestrzeni publicznych</w:t>
      </w:r>
      <w:bookmarkEnd w:id="101"/>
    </w:p>
    <w:p>
      <w:pPr>
        <w:pStyle w:val="Normal"/>
        <w:spacing w:lineRule="auto" w:line="276"/>
        <w:jc w:val="both"/>
        <w:rPr/>
      </w:pPr>
      <w:r>
        <w:rPr/>
        <w:t xml:space="preserve">Na terenie miasta rdzeniowego Włocławek realizowany będzie proces rewitalizacji w ramach Gminnego Programu Rewitalizacji Miasta Włocławek na lata 2018-2028, natomiast na pozostałym obszarze MOF zakłada się możliwość realizacji projektów w ramach odnowy przestrzeni publicznych. Celem realizowanej odnowy przestrzeni publicznych jest przywrócenie atrakcyjności terenów zdegradowanych lub zniszczonych, które utraciły możliwość pełnienia swej pierwotnej funkcji, </w:t>
        <w:br/>
        <w:t xml:space="preserve">lub pełnienie tej funkcji zostało wyraźnie ograniczone. Przestrzenie publiczne powinny stanowić bezpieczne miejsce spędzania czasu wolnego, oferując przestrzeń do realizacji potrzeb rekreacyjnych, wypoczynkowych, turystycznych, kulturalnych, ułatwiając kontakt z przyrodą i innymi ludźmi. Dobrze zorganizowane przestrzenie publiczne są ważnym elementem procesu wzmacniania integracji mieszkańców, ułatwiają kontakty międzyludzkie i wspólne przebywanie wszystkich grup społecznych, co przyczynia się do rozwoju tolerancji i wzmacnia więzi międzypokoleniowe, wskutek czego sprzyja włączeniu w życie lokalnej społeczności osób z grup defaworyzowanych, osób </w:t>
        <w:br/>
        <w:t xml:space="preserve">z niepełnosprawnościami, osób starszych, rodziców małych dzieci, migrantów itp. </w:t>
      </w:r>
    </w:p>
    <w:p>
      <w:pPr>
        <w:pStyle w:val="Normal"/>
        <w:spacing w:lineRule="auto" w:line="276"/>
        <w:jc w:val="both"/>
        <w:rPr/>
      </w:pPr>
      <w:r>
        <w:rPr/>
        <w:t>Na terenie MOF Włocławka dostrzega się potrzebę uporządkowania i zagospodarowania przestrzeni publicznych oraz udostępnienia ich na potrzeby rekreacji i wypoczynku mieszkańców. Tereny publiczne wymagają najczęściej wyposażenia w odpowiednią infrastrukturę i elementy małej architektury</w:t>
        <w:br/>
        <w:t xml:space="preserve"> lub dokonania remontów obiektów na potrzeby społeczne i kulturalne oraz zagospodarowania </w:t>
        <w:br/>
        <w:t>ich otoczenia, aby służyć mogły integracji międzypokoleniowej i wzmacnianiu więzi międzyludzkich lokalnych społeczności. Odnowa przestrzeni publicznych na obszarze przyczyni się także do poprawy stanu środowiska przyrodniczego i będzie miała pozytywny wpływ na złagodzenie negatywnych zmian klimatu, gdyż wiąże się z zagospodarowaniem terenów zielonych, nowymi nasadzeniami i wykonaniem zabiegów pielęgnacyjnych istniejącej szaty roślinnej.</w:t>
      </w:r>
    </w:p>
    <w:p>
      <w:pPr>
        <w:pStyle w:val="Normal"/>
        <w:rPr>
          <w:b/>
          <w:sz w:val="18"/>
          <w:szCs w:val="18"/>
        </w:rPr>
      </w:pPr>
      <w:r>
        <w:rPr>
          <w:b/>
          <w:sz w:val="18"/>
          <w:szCs w:val="18"/>
        </w:rPr>
      </w:r>
    </w:p>
    <w:p>
      <w:pPr>
        <w:pStyle w:val="2poziom"/>
        <w:numPr>
          <w:ilvl w:val="0"/>
          <w:numId w:val="0"/>
        </w:numPr>
        <w:ind w:left="284" w:hanging="0"/>
        <w:rPr/>
      </w:pPr>
      <w:bookmarkStart w:id="102" w:name="_Toc143161912"/>
      <w:r>
        <w:rPr/>
        <w:t>2.19. Gospodarka wodno-ściekowa</w:t>
      </w:r>
      <w:bookmarkEnd w:id="102"/>
    </w:p>
    <w:p>
      <w:pPr>
        <w:pStyle w:val="Normal"/>
        <w:spacing w:lineRule="auto" w:line="276"/>
        <w:jc w:val="both"/>
        <w:rPr/>
      </w:pPr>
      <w:bookmarkStart w:id="103" w:name="_Toc75765540"/>
      <w:bookmarkStart w:id="104" w:name="_Toc75730847"/>
      <w:bookmarkStart w:id="105" w:name="_Toc75730815"/>
      <w:bookmarkStart w:id="106" w:name="_Toc75717527"/>
      <w:bookmarkStart w:id="107" w:name="_Toc75714830"/>
      <w:bookmarkStart w:id="108" w:name="_Toc75765538"/>
      <w:bookmarkStart w:id="109" w:name="_Toc75730845"/>
      <w:bookmarkStart w:id="110" w:name="_Toc75730813"/>
      <w:bookmarkStart w:id="111" w:name="_Toc75717525"/>
      <w:bookmarkStart w:id="112" w:name="_Toc75714828"/>
      <w:bookmarkEnd w:id="103"/>
      <w:bookmarkEnd w:id="104"/>
      <w:bookmarkEnd w:id="105"/>
      <w:bookmarkEnd w:id="106"/>
      <w:bookmarkEnd w:id="107"/>
      <w:bookmarkEnd w:id="108"/>
      <w:bookmarkEnd w:id="109"/>
      <w:bookmarkEnd w:id="110"/>
      <w:bookmarkEnd w:id="111"/>
      <w:bookmarkEnd w:id="112"/>
      <w:r>
        <w:rPr/>
        <w:t xml:space="preserve">Ze względu na malejące zasoby wody do najważniejszych aspektów rozwoju i właściwego funkcjonowania gospodarki wodno-ściekowej należy zapewnienie dostaw wody dobrej jakości, oszczędzania wody i ograniczanie jej strat w sieciach wodociągowych, magazynowanie wody oraz troska o stan wód poprzez właściwe oczyszczanie ścieków. Istotne jest zwiększenie efektywności dostaw wody poprzez m.in. rozwój systemów ujęć, uzdatnianie i wspieranie inteligentnych systemów zarządzania sieciami wodno-kanalizacyjnymi. Bardzo ważny jest aspekt edukacyjny, czyli promowanie i wspieranie mieszkańców w procesie oszczędzania wody, wyrabianie odpowiednich nawyków i umożliwienie kontroli zużycia wody w gospodarstwie domowym poprzez odpowiednie opomiarowanie. </w:t>
      </w:r>
    </w:p>
    <w:p>
      <w:pPr>
        <w:pStyle w:val="Normal"/>
        <w:spacing w:lineRule="auto" w:line="276"/>
        <w:jc w:val="both"/>
        <w:rPr/>
      </w:pPr>
      <w:r>
        <w:rPr/>
        <w:t>MOF Włocławka cechuje się przeciętnym udziałem osób korzystających z sieci wodociągowej. Wskaźnik ten w 2020 roku</w:t>
      </w:r>
      <w:r>
        <w:rPr>
          <w:rStyle w:val="Zakotwiczenieprzypisudolnego"/>
        </w:rPr>
        <w:footnoteReference w:id="36"/>
      </w:r>
      <w:r>
        <w:rPr/>
        <w:t xml:space="preserve"> kształtował się we Włocławku na poziomie 97,0%, a na obszarze powiatu włocławskiego 95,2%, przy </w:t>
      </w:r>
      <w:r>
        <w:rPr>
          <w:rFonts w:cs="Calibri"/>
        </w:rPr>
        <w:t>ś</w:t>
      </w:r>
      <w:r>
        <w:rPr/>
        <w:t>redniej warto</w:t>
      </w:r>
      <w:r>
        <w:rPr>
          <w:rFonts w:cs="Calibri"/>
        </w:rPr>
        <w:t>ś</w:t>
      </w:r>
      <w:r>
        <w:rPr/>
        <w:t>ci wojewódzkiej wynosz</w:t>
      </w:r>
      <w:r>
        <w:rPr>
          <w:rFonts w:cs="Calibri"/>
        </w:rPr>
        <w:t>ą</w:t>
      </w:r>
      <w:r>
        <w:rPr/>
        <w:t xml:space="preserve">cej 95,5%. W większości gmin tworzących MOF Włocławka odsetek korzystających był dużo korzystniejszy niż przeciętnie w regionie, a aż w 9 z 14 gmin osiągał bardzo wysokie wartości (97% i powyżej), natomiast w najsłabszych gminach wynosił poniżej 90% (Lubień Kujawski 84% i Choceń 89%). Analizując zróżnicowanie wewnątrz gmin miejsko-wiejskich zauważyć można, że w przypadku trzech występuje duża dysproporcja udziału korzystających w mieście i na obszarach wiejskich, gdyż w miastach prawie wszyscy mieszkańcy korzystali z sieci wodociągowej, a na obszarach wiejskich tych gmin wskaźniki kształtowały </w:t>
        <w:br/>
        <w:t xml:space="preserve">się na poziomie 80-88% (gmina Lubień Kujawski - 80,1%, Chodecz – 86,5% </w:t>
      </w:r>
      <w:r>
        <w:rPr>
          <w:rFonts w:cs="Calibri" w:cstheme="minorHAnsi"/>
        </w:rPr>
        <w:t xml:space="preserve">i Izbica Kujawska – 88,0%). </w:t>
      </w:r>
      <w:r>
        <w:rPr/>
        <w:t xml:space="preserve">Wynika z tego, że na obszarze ciągle jeszcze dostrzegalne są braki w ciągłości sieci wodociągowej </w:t>
        <w:br/>
        <w:t xml:space="preserve">i istnieją potrzeby realizacji nowych odcinków sieci wodociągowej. Na obszarach podlegających suburbanizacji np. w gminie Fabianki, mimo wysokiego poziomu zwodociągowania, zauważa </w:t>
        <w:br/>
        <w:t>się problem nieprzystosowania istniejącej sieci wodociągowej do szybko rosnącego zapotrzebowania. Pojawiają się, zwłaszcza w okresach letnich, ograniczenia w dostawie wody do gospodarstw domowych. Konieczne są więc też inwestycje w modernizację istniejących sieci wodociągowych w celu zwiększenia ich przepustowości. Ważną potrzebą obszaru jest także zapewnienie ciągłości dostaw wody i dostarczanie mieszkańcom wody pitnej odpowiedniej jakości (realizowanych m.in. poprzez kompleksowe modernizacje stacji uzdatniania wody, budowę i przebudowę ujęć wody). Zwiększenie wydajności stacji uzdatniania wody jest konieczne zwłaszcza na obszarach szybkiego rozwoju osadnictwa np. w gminie Fabianki, gdzie istniejąca infrastruktura nie jest dostosowana do zwiększonej liczby odbiorców. MOF Włocławka jest obszarem o silnej funkcji rolniczej, położonym na terenie niedoborów wody, dlatego też niezbędne jest prowadzenie działań zmierzających do oszczędnego gospodarowania zasobami wody, kontroli jej przepływów i zużycia oraz stałe monitorowanie wycieków, co w konsekwencji przyczynia się do ograniczania strat wody.</w:t>
      </w:r>
    </w:p>
    <w:p>
      <w:pPr>
        <w:pStyle w:val="Normal"/>
        <w:spacing w:lineRule="auto" w:line="276"/>
        <w:jc w:val="both"/>
        <w:rPr>
          <w:rFonts w:cs="Calibri" w:cstheme="minorHAnsi"/>
        </w:rPr>
      </w:pPr>
      <w:r>
        <w:rPr>
          <w:rFonts w:cs="Calibri" w:cstheme="minorHAnsi"/>
        </w:rPr>
        <w:t>Udział osób korzystających z sieci kanalizacyjnej w gminach tworzących MOF Włocławka jest mocno zróżnicowany. We Włocławku wskaźnik wynosił 92,5%</w:t>
      </w:r>
      <w:r>
        <w:rPr>
          <w:rStyle w:val="Zakotwiczenieprzypisudolnego"/>
          <w:rFonts w:cs="Calibri" w:cstheme="minorHAnsi"/>
        </w:rPr>
        <w:footnoteReference w:id="37"/>
      </w:r>
      <w:r>
        <w:rPr>
          <w:rFonts w:cs="Calibri" w:cstheme="minorHAnsi"/>
        </w:rPr>
        <w:t xml:space="preserve">, przy średniej dla województwa 70,3% i był zbliżony do wartości występujących w pozostałych miastach na prawach powiatu w regionie. </w:t>
        <w:br/>
        <w:t>W pozostałych gminach (obszar powiatu włocławskiego)</w:t>
      </w:r>
      <w:r>
        <w:rPr/>
        <w:t xml:space="preserve"> udział osób korzystaj</w:t>
      </w:r>
      <w:r>
        <w:rPr>
          <w:rFonts w:cs="Calibri"/>
        </w:rPr>
        <w:t>ą</w:t>
      </w:r>
      <w:r>
        <w:rPr/>
        <w:t>cych z sieci kanalizacyjnej wyni</w:t>
      </w:r>
      <w:r>
        <w:rPr>
          <w:rFonts w:cs="Lato"/>
        </w:rPr>
        <w:t>ó</w:t>
      </w:r>
      <w:r>
        <w:rPr/>
        <w:t>s</w:t>
      </w:r>
      <w:r>
        <w:rPr>
          <w:rFonts w:cs="Lato"/>
        </w:rPr>
        <w:t>ł</w:t>
      </w:r>
      <w:r>
        <w:rPr/>
        <w:t xml:space="preserve"> w 2020 roku jedynie 42,1% i jest to słaby wynik na tle wszystkich powiatów ziemskich (16. lokata na 19), pomimo wyraźnej poprawy sytuacji w latach 2010-2020. </w:t>
      </w:r>
      <w:r>
        <w:rPr>
          <w:rFonts w:cs="Calibri" w:cstheme="minorHAnsi"/>
        </w:rPr>
        <w:t xml:space="preserve">Spośród gmin powiatu włocławskiego wartości przewyższające średnią wojewódzką odnotowano tylko w gminie miejskiej Kowal, cechującej się prawie 100% udziałem mieszkańców korzystających z sieci kanalizacyjnej. Poza tym udziały ponad 50% odnotowano w gminach Brześć Kujawski i Choceń, </w:t>
        <w:br/>
        <w:t xml:space="preserve">ale jednocześnie w połowie gmin MOF Włocławka z sieci kanalizacyjnej korzystało mniej niż 1/3 ludności. </w:t>
      </w:r>
      <w:r>
        <w:rPr/>
        <w:t xml:space="preserve">Według VI edycji </w:t>
      </w:r>
      <w:r>
        <w:rPr>
          <w:i/>
          <w:iCs/>
        </w:rPr>
        <w:t>Krajowego programu oczyszczania ścieków komunalnych</w:t>
      </w:r>
      <w:r>
        <w:rPr/>
        <w:t xml:space="preserve"> (KPOŚK) na terenie obszaru istnieje osiem aglomeracji wodno-ściekowych o RLM równej lub większej niż 2 tys. Największa to</w:t>
      </w:r>
      <w:r>
        <w:rPr>
          <w:rFonts w:cs="Calibri" w:cstheme="minorHAnsi"/>
        </w:rPr>
        <w:t xml:space="preserve"> Aglomeracja Włocławek (obejmująca miasto Włocławek i gminę wiejską Włocławek)</w:t>
      </w:r>
      <w:r>
        <w:rPr/>
        <w:t xml:space="preserve"> o RLM ponad 100 tys., w której poziom skanalizowania wynosi 98,16% (obsługiwana jest przez</w:t>
      </w:r>
      <w:r>
        <w:rPr>
          <w:rFonts w:cs="Calibri" w:cstheme="minorHAnsi"/>
        </w:rPr>
        <w:t xml:space="preserve"> Grupową Oczyszczalnię Ścieków). Kolejną pod względem wielkości jest Aglomeracja Brześć Kujawski (obejmująca gminę Brześć Kujawski) o RLM prawie 7,5 tys. i poziomie skanalizowania 96,35% (obsługują </w:t>
        <w:br/>
        <w:t xml:space="preserve">ją oczyszczalnie Stary Brześć i Brzezie). Ostatnią grupę stanowią aglomeracje liczące 2-5 tys. RLM, </w:t>
        <w:br/>
        <w:t>a więc: Chodecz (poziom skanalizowania 100,00%; obsługiwana przez oczyszczalnię Mielno-Lubieniec), Izbica Kujawska (88,13%; oczyszczalnia Izbica Kujawska), Kowal (99,48%; oczyszczalnia Kowal), Choceń (100%; Komunalna Oczyszczalnia Ścieków w Choceniu), Lubraniec (98,20%; Lubraniec Marysin)</w:t>
        <w:br/>
        <w:t xml:space="preserve"> i Fabianki (69,91%; oczyszczalnie Fabianki, Szpetal Górny).</w:t>
      </w:r>
    </w:p>
    <w:p>
      <w:pPr>
        <w:pStyle w:val="Normal"/>
        <w:spacing w:lineRule="auto" w:line="120" w:before="0" w:after="120"/>
        <w:rPr>
          <w:rFonts w:cs="Calibri" w:cstheme="minorHAnsi"/>
        </w:rPr>
      </w:pPr>
      <w:r>
        <w:rPr>
          <w:rFonts w:cs="Calibri" w:cstheme="minorHAnsi"/>
        </w:rPr>
      </w:r>
    </w:p>
    <w:p>
      <w:pPr>
        <w:pStyle w:val="2poziom"/>
        <w:numPr>
          <w:ilvl w:val="0"/>
          <w:numId w:val="0"/>
        </w:numPr>
        <w:spacing w:before="0" w:afterAutospacing="1"/>
        <w:ind w:left="1275" w:hanging="992"/>
        <w:rPr/>
      </w:pPr>
      <w:bookmarkStart w:id="113" w:name="_Toc143161913"/>
      <w:r>
        <w:rPr/>
        <w:t>2.20. Poprawa efektywności energetycznej, redukcja emisji zanieczyszczeń i adaptacja do zmian klimatu</w:t>
      </w:r>
      <w:bookmarkEnd w:id="113"/>
    </w:p>
    <w:p>
      <w:pPr>
        <w:pStyle w:val="Normal"/>
        <w:spacing w:lineRule="auto" w:line="276"/>
        <w:jc w:val="both"/>
        <w:rPr/>
      </w:pPr>
      <w:r>
        <w:rPr/>
        <w:t xml:space="preserve">Jednym ze współczesnych problemów, który stanowi wyzwanie dla wielu sektorów gospodarki </w:t>
        <w:br/>
        <w:t xml:space="preserve">są zmiany klimatyczne. Przejawiają się one m.in. ociepleniem klimatu i nasilaniem się ekstremalnych zjawisk pogodowych. Zmiany te prowadzą często do negatywnych konsekwencji i strat dla środowiska, społeczeństwa oraz gospodarki, wśród których wyróżnić można np. spadek poziomu wód </w:t>
        <w:br/>
        <w:t xml:space="preserve">w zbiornikach wodnych oraz gruntowych, nasilanie się okresów suszy (szczególnie uciążliwych </w:t>
        <w:br/>
        <w:t xml:space="preserve">dla produkcji rolniczej – w tym żywności), pustynnienie gleb, utrudnienia w sektorze transportowym (w tym w komunikacji publicznej), uszkodzenia infrastruktury technicznej i łączności, uszkodzenia </w:t>
        <w:br/>
        <w:t xml:space="preserve">i zniszczenia budynków wskutek silnych zjawisk pogodowych, czy też powstawanie wysp ciepła </w:t>
        <w:br/>
        <w:t xml:space="preserve">na mocno przekształconych przestrzeniach (zwłaszcza miast). Możliwości dokładnego rozpoznania skali problemów na poziomie lokalnym są jednak bardzo ograniczone. Zmiany klimatyczne zachodzą bowiem na szeroką skalę i nie wynikają wyłącznie z sytuacji notowanej tylko na konkretnym obszarze. Stąd też jeżeli na terenie danej jednostki (np. gminy) wielkość emisji zanieczyszczeń jest mniejsza </w:t>
        <w:br/>
        <w:t xml:space="preserve">niż na terenie jednostki sąsiedniej, nie oznacza to iż jest ona z tego powodu mniej narażona </w:t>
        <w:br/>
        <w:t xml:space="preserve">na konsekwencje zmian klimatycznych. Poza tym dane klimatyczne analizowane są co do zasady </w:t>
        <w:br/>
        <w:t>na dużo bardziej ogólnym poziomie, stąd też różnicowanie sytuacji na poziomie jednostek lokalnych jest praktycznie niemożliwe. Procesy związane z przekształcaniem się klimatu zachodzą zarówno</w:t>
        <w:br/>
        <w:t xml:space="preserve"> w miastach, jak i na obszarach wiejskich, niezależnie od ich położenia. Różnica polega jedynie na skali powodowanych uciążliwości. Dlatego też odpowiedź na próbę łagodzenia wspomnianych problemów powinna być odgórnie kierowana z jednej strony na eliminowanie przyczyny zmian klimatu – czyli bezpośrednie ograniczenie emisji gazów i pyłów we wszystkich dziedzinach gospodarki i w sektorze mieszkalnictwa (co przełoży się m.in. na wyhamowanie procesu globalnego ocieplenia w przyszłości), prowadzenie racjonalnej gospodarki leśnej (zapobiegając nadmiernym i nieuzasadnionym wycinkom drzew) i odpowiedzialne gospodarowanie zasobami wody, a z drugiej strony na zwiększanie odporności oraz trwałości infrastruktury i systemów (w tym ekosystemów) w różnych obszarach, </w:t>
        <w:br/>
        <w:t xml:space="preserve">aby nie doprowadzić do ich uszkodzenia lub zniszczenia. Problemy wynikające ze zmian klimatu dotykają również MOF Włocławka, co przejawia się np. występowaniem licznych okresów suszy </w:t>
        <w:br/>
        <w:t>w rolnictwie (w okresie 2012-2022, w zależności od gminy, stwierdzono suszę w 6-10 latach</w:t>
      </w:r>
      <w:r>
        <w:rPr>
          <w:rStyle w:val="Zakotwiczenieprzypisudolnego"/>
        </w:rPr>
        <w:footnoteReference w:id="38"/>
      </w:r>
      <w:r>
        <w:rPr/>
        <w:t>, która zagrażała często co najmniej kilku rodzajom upraw), czy także obserwowanym wzrostem średniej temperatury powietrza w okresach wielolecia</w:t>
      </w:r>
      <w:r>
        <w:rPr>
          <w:rStyle w:val="Zakotwiczenieprzypisudolnego"/>
        </w:rPr>
        <w:footnoteReference w:id="39"/>
      </w:r>
      <w:r>
        <w:rPr/>
        <w:t xml:space="preserve">. Dlatego też w celu łagodzenia różnego rodzaju uciążliwości będących następstwem zmian klimatu, zasadne jest stosowanie podejścia ekosystemowego, mającego na celu ochronę oraz wzrost powierzchni zasobów przyrodniczych – </w:t>
        <w:br/>
        <w:t>co dotyczy wszelkich działań w obszarze niebiesko-zielonej infrastruktury.</w:t>
      </w:r>
    </w:p>
    <w:p>
      <w:pPr>
        <w:pStyle w:val="Normal"/>
        <w:spacing w:lineRule="auto" w:line="276"/>
        <w:jc w:val="both"/>
        <w:rPr/>
      </w:pPr>
      <w:r>
        <w:rPr/>
        <w:t xml:space="preserve">Ważnym obszarem w kontekście wpływu na ocieplanie się klimatu jest energetyka. Wykorzystywanie surowców energetycznych na potrzeby pozyskania energii elektrycznej i cieplnej wiąże </w:t>
        <w:br/>
        <w:t xml:space="preserve">się z generowaniem zanieczyszczeń powietrza. Efektem ubocznym tych procesów jest ciągłe dostarczanie gazów cieplarnianych do atmosfery, co wzmacnia omawiany problem. W obszarze energetyki cieplnej istotne są zwłaszcza kwestie takie jak poziom zapotrzebowania na ciepło (związany ze stanem technicznym instalacji sieci grzewczej oraz stopniem izolacji zewnętrznej budynków) </w:t>
        <w:br/>
        <w:t xml:space="preserve">oraz źródła jego pozyskiwania (związane z rodzajem wykorzystywanego surowca energetycznego). </w:t>
        <w:br/>
        <w:t xml:space="preserve">W obszarze energii elektrycznej istotny jest z kolei poziom zapotrzebowania na prąd wynikający m.in. ze stanu i jakości instalacji oraz klasy energetycznej urządzeń i systemów) jak również źródła jego pozyskiwania (kwestia podłączenia do sieci ogólnej bądź wykorzystywania instalacji OZE). Jak wynika </w:t>
        <w:br/>
        <w:t>z danych GUS</w:t>
      </w:r>
      <w:r>
        <w:rPr>
          <w:rStyle w:val="Zakotwiczenieprzypisudolnego"/>
        </w:rPr>
        <w:footnoteReference w:id="40"/>
      </w:r>
      <w:r>
        <w:rPr/>
        <w:t xml:space="preserve"> dla kraju, w roku 2021, w strukturze paliw wykorzystanych do produkcji energii cieplnej na cele grzewcze, największy udział stanowiły paliwa stałe (61,9%) i gazowe (36,1%). Uzależnienie </w:t>
        <w:br/>
        <w:t>od tradycyjnych metod ogrzewania jest wciąż bardzo wysokie. Z drugiej strony, powołując się na dane GUS dotyczące potrzeb w zakresie inwestycji termomodernizacyjnych</w:t>
      </w:r>
      <w:r>
        <w:rPr>
          <w:rStyle w:val="Zakotwiczenieprzypisudolnego"/>
        </w:rPr>
        <w:footnoteReference w:id="41"/>
      </w:r>
      <w:r>
        <w:rPr/>
        <w:t>, aż blisko 40% budynków wielomieszkaniowych</w:t>
        <w:br/>
        <w:t xml:space="preserve"> w kraju wymaga podjęcia tego rodzaju działań. Nawet jeżeli część z tych budynków przeszła</w:t>
        <w:br/>
        <w:t xml:space="preserve"> już termomodernizację, to skala potrzeb wciąż pozostaje bardzo duża. W tych aspektach na obszarze MOF Włocławka identyfikuje się problemy związane z komunalnymi budynkami mieszkaniowymi oraz budynkami użyteczności publicznej ogrzewanymi za pomocą mało efektywnych systemów grzewczych oraz charakteryzującymi się bardzo słabą izolacją zewnętrzną i występowaniem mostków termicznych. Bardzo często są to obiekty użytkowane od wielu lat, zbudowane w oparciu o stare systemy budownictwa. Efektem tego są mierzone bardzo duże straty ciepła, jak również widoczna jest duża energochłonność w związku z potrzebą stałego utrzymywania odpowiedniej temperatury w środku. Część budynków korzysta z ogrzewania dostarczanego przez lokalne ciepłownie. Opierają się one jednak na wysoko emisyjnych rozwiązaniach, co istotnie ogranicza możliwości zrealizowania celów redukcyjnych zanieczyszczeń powietrza. Mimo to efektywność zbiorczych systemów ciepłowniczych jest znacznie wyższa w stosunku do rozproszonych, indywidualnych systemów ciepłowniczych (charakteryzujących się zróżnicowanym poziomem klas kotłów oraz zróżnicowanym jakościowo, użytkowanym surowcem energetycznym). Poza tym korzystanie z systemów zbiorczych minimalizuje ryzyko bezpośredniej ekspozycji mieszkańców na zanieczyszczenia powietrza na poziomie tzw. niskiej emisji (niemniej jednak zanieczyszczenia te odkładane są na wyższych poziomach atmosfery). W tym aspekcie na obszarze MOF Włocławka identyfikowana jest potrzeba zmniejszenia emisyjności systemów oraz zdecydowanego zwiększenia zaangażowania źródeł odnawialnych (ewentualnie niskoemisyjnych lub kogeneracyjnych) w produkcję energii cieplnej. Podobnie jest w przypadku zapotrzebowania na energię elektryczną, której konsumpcja (zwłaszcza w budynkach użyteczności publicznej opartych na energochłonnych instalacjach elektrycznych) jest bardzo wysoka. Dotyczy to na przykład systemów oświetlenia oraz zasilania urządzeń, których częstotliwość eksploatacji jest bardzo wysoka. W tym miejscu należy również zwrócić uwagę na kwestię produkcji energii z odnawialnych źródeł. Na obszarze MOF Włocławka energia wykorzystywana na potrzeby działalności budynków użyteczności publicznej i budynków komunalnych pochodzi w głównej mierze z ogólnej sieci energetycznej, pomimo iż mają one potencjał do wdrażania rozwiązań opartych na własnej produkcji energii z odnawialnych źródeł.</w:t>
      </w:r>
    </w:p>
    <w:p>
      <w:pPr>
        <w:pStyle w:val="Normal"/>
        <w:spacing w:lineRule="auto" w:line="276"/>
        <w:jc w:val="both"/>
        <w:rPr/>
      </w:pPr>
      <w:r>
        <w:rPr/>
        <w:t xml:space="preserve">Duże zapotrzebowanie na energię elektryczną generują systemy oświetlenia drogowego, składające się z wielu punktów oświetlających dogi, ciągi pieszo-rowerowe oraz inne miejsca w przestrzeni publicznej. Stanowią one niezbędny komponent przede wszystkim w sferze bezpieczeństwa publicznego. Coraz powszechniej praktykowane są rozwiązania mające na celu doświetlanie miejsc niebezpiecznych na drogach oraz przejść dla pieszych – co minimalizuje ryzyko potencjalnych wypadków, niemniej jednak niesie za sobą większe zapotrzebowanie na prąd oraz tym samym generuje większe koszty utrzymania. W tym aspekcie na obszarze MOF Włocławka identyfikowane są problemy związane z niedostosowaniem systemów oświetlenia ulicznego do współczesnych standardów. </w:t>
        <w:br/>
        <w:t xml:space="preserve">Dla zapewnienia maksymalnych korzyści środowiskowych ważne jest zatem, aby upowszechniać </w:t>
        <w:br/>
        <w:t>na szeroką skalę systemy oświetlenia energooszczędnego, które bez straty jakości parametrów działania wobec systemów tradycyjnych cechują się zdecydowanie większą oszczędnością zarówno       w sferze energetycznej, środowiskowej oraz finansowej.</w:t>
      </w:r>
    </w:p>
    <w:p>
      <w:pPr>
        <w:pStyle w:val="Normal"/>
        <w:spacing w:lineRule="auto" w:line="276"/>
        <w:jc w:val="both"/>
        <w:rPr/>
      </w:pPr>
      <w:r>
        <w:rPr/>
        <w:t xml:space="preserve">Omówione powyżej aspekty wpływają na bardzo duże zainteresowanie problematyką zmian klimatu zarówno przez podmioty ze sfery publicznej, jak i prywatnej. Przeciwdziałanie pogłębianiu się zmianom klimatu (zwanej mitygacją zmian klimatu) oraz uodpornienie się na skutki tych zmian, stanowią szczególny obszar interwencji na poziomie Unii Europejskiej, kraju oraz województwa kujawsko-pomorskiego. Ponadto w ramach wspomnianej perspektywy przyjęto zasadę DNSH („do not significant harm”), która nakazuje realizowanie działań inwestycyjnych w taki sposób, aby nie czynić znaczących szkód w środowisku. Zasada ta jest oceniana w odniesieniu do celów środowiskowych tj. łagodzenie zmian klimatu, adaptacja do zmian klimatu, odpowiednie użytkowanie i ochrona zasobów wodnych </w:t>
        <w:br/>
        <w:t>i morskich, gospodarka o obiegu zamkniętym, zapobieganie i kontrola zanieczyszczeń powietrza, wody i ziemi oraz ochrona i odtwarzanie bioróżnorodności i ekosystemów.</w:t>
      </w:r>
    </w:p>
    <w:p>
      <w:pPr>
        <w:pStyle w:val="Normal"/>
        <w:rPr/>
      </w:pPr>
      <w:r>
        <w:rPr/>
      </w:r>
    </w:p>
    <w:p>
      <w:pPr>
        <w:pStyle w:val="2poziom"/>
        <w:numPr>
          <w:ilvl w:val="0"/>
          <w:numId w:val="0"/>
        </w:numPr>
        <w:ind w:left="1134" w:hanging="850"/>
        <w:rPr/>
      </w:pPr>
      <w:bookmarkStart w:id="114" w:name="_Hlk134171815"/>
      <w:bookmarkStart w:id="115" w:name="_Toc143161914"/>
      <w:r>
        <w:rPr/>
        <w:t>2.21. Najważniejsze wnioski wynikające z Planu Adaptacji Miasta Włocławka do zmian klimatu do roku 2030</w:t>
      </w:r>
      <w:bookmarkEnd w:id="114"/>
      <w:bookmarkEnd w:id="115"/>
    </w:p>
    <w:p>
      <w:pPr>
        <w:pStyle w:val="Normal"/>
        <w:spacing w:lineRule="auto" w:line="276"/>
        <w:jc w:val="both"/>
        <w:rPr/>
      </w:pPr>
      <w:r>
        <w:rPr/>
        <w:t>W ostatnich latach coraz częściej jesteśmy świadkami negatywnych skutków postępujących zmian klimatu, często potęgowanych przez konsekwencje naturalnego rozwoju obszarów miejskich – wzrostu zagospodarowania, zagęszczenia ludności czy liczby pojazdów, a z drugiej strony spadku udziału powierzchni biologicznie czynnych, czy dyspozycyjnych zasobów wodnych. Zarówno nagłe, gwałtowne zjawiska, jakimi są nawałnice, podtopienia i powodzie, jak i długotrwałe okresy z wysokimi temperaturami i suszami, powodować będą coraz większe straty materialne i ekonomiczne, a przede wszystkim coraz większe zagrożenia dla życia i zdrowia ludzi.</w:t>
      </w:r>
    </w:p>
    <w:p>
      <w:pPr>
        <w:pStyle w:val="Normal"/>
        <w:spacing w:lineRule="auto" w:line="276" w:before="0" w:after="0"/>
        <w:jc w:val="both"/>
        <w:rPr/>
      </w:pPr>
      <w:r>
        <w:rPr/>
        <w:t>Mając ograniczony wpływ na skalę i częstotliwość występowania samych zjawisk klimatycznych</w:t>
        <w:br/>
        <w:t xml:space="preserve"> i ich pochodnych, w celu budowy miasta odpornego na niekorzystne zjawiska konieczne jest zmniejszenie podatności wrażliwych sektorów i obszarów oraz zwiększenie potencjału adaptacyjnego w poszczególnych kategoriach funkcjonowania Miasta.</w:t>
      </w:r>
    </w:p>
    <w:p>
      <w:pPr>
        <w:pStyle w:val="Normal"/>
        <w:spacing w:lineRule="auto" w:line="276" w:before="0" w:after="0"/>
        <w:jc w:val="both"/>
        <w:rPr/>
      </w:pPr>
      <w:r>
        <w:rPr/>
        <w:t>Miasto Włocławek jest jednym z 44 dużych ośrodków miejskich Polski, które są szczególnie zagrożone skutkami zmian klimatu oraz których uwarunkowania wynikające z cech własnych miasta, procesów historycznych oraz dynamiki rozwoju mogą potęgować te zagrożenia.</w:t>
      </w:r>
    </w:p>
    <w:p>
      <w:pPr>
        <w:pStyle w:val="Normal"/>
        <w:spacing w:lineRule="auto" w:line="276" w:before="0" w:after="0"/>
        <w:jc w:val="both"/>
        <w:rPr>
          <w:rFonts w:eastAsia="Times New Roman"/>
          <w:kern w:val="2"/>
        </w:rPr>
      </w:pPr>
      <w:r>
        <w:rPr>
          <w:rFonts w:eastAsia="Times New Roman"/>
          <w:kern w:val="2"/>
        </w:rPr>
        <w:t>Szczegółowa analiza danych klimatycznych i hydrologicznych z wielolecia umożliwiła ocenę ekspozycji miasta na zmiany klimatu. Wyniki oceny stanowią podstawę wskazania ekstremalnych zjawisk klimatycznych i ich pochodnych będących największym zagrożeniem dla mieszkańców i sektorów miasta.</w:t>
      </w:r>
    </w:p>
    <w:p>
      <w:pPr>
        <w:pStyle w:val="Normal"/>
        <w:spacing w:lineRule="auto" w:line="276" w:before="0" w:after="0"/>
        <w:jc w:val="both"/>
        <w:rPr>
          <w:rFonts w:eastAsia="Times New Roman"/>
          <w:kern w:val="2"/>
        </w:rPr>
      </w:pPr>
      <w:r>
        <w:rPr>
          <w:rFonts w:eastAsia="Times New Roman"/>
          <w:kern w:val="2"/>
        </w:rPr>
        <w:t>Z przeprowadzonych analiz wynika, iż głównymi zagrożeniami klimatycznymi we Włocławku są:</w:t>
      </w:r>
    </w:p>
    <w:p>
      <w:pPr>
        <w:pStyle w:val="Normal"/>
        <w:numPr>
          <w:ilvl w:val="0"/>
          <w:numId w:val="10"/>
        </w:numPr>
        <w:spacing w:lineRule="auto" w:line="276" w:before="0" w:after="0"/>
        <w:ind w:left="851" w:hanging="284"/>
        <w:contextualSpacing/>
        <w:jc w:val="both"/>
        <w:rPr>
          <w:rFonts w:eastAsia="Times New Roman" w:cs="Calibri"/>
          <w:kern w:val="2"/>
        </w:rPr>
      </w:pPr>
      <w:r>
        <w:rPr>
          <w:rFonts w:eastAsia="Times New Roman" w:cs="Calibri"/>
          <w:kern w:val="2"/>
        </w:rPr>
        <w:t>wzrost wartości i liczby dni z temperaturą maksymalną powietrza,</w:t>
      </w:r>
    </w:p>
    <w:p>
      <w:pPr>
        <w:pStyle w:val="Normal"/>
        <w:numPr>
          <w:ilvl w:val="0"/>
          <w:numId w:val="10"/>
        </w:numPr>
        <w:spacing w:lineRule="auto" w:line="276" w:before="0" w:after="0"/>
        <w:ind w:left="851" w:hanging="284"/>
        <w:contextualSpacing/>
        <w:jc w:val="both"/>
        <w:rPr>
          <w:rFonts w:eastAsia="Times New Roman" w:cs="Calibri"/>
          <w:kern w:val="2"/>
        </w:rPr>
      </w:pPr>
      <w:r>
        <w:rPr>
          <w:rFonts w:eastAsia="Times New Roman" w:cs="Calibri"/>
          <w:kern w:val="2"/>
        </w:rPr>
        <w:t>wzrost częstości występowanie fal upałów,</w:t>
      </w:r>
    </w:p>
    <w:p>
      <w:pPr>
        <w:pStyle w:val="Normal"/>
        <w:numPr>
          <w:ilvl w:val="0"/>
          <w:numId w:val="10"/>
        </w:numPr>
        <w:spacing w:lineRule="auto" w:line="276" w:before="0" w:after="0"/>
        <w:ind w:left="851" w:hanging="284"/>
        <w:contextualSpacing/>
        <w:jc w:val="both"/>
        <w:rPr>
          <w:rFonts w:eastAsia="Times New Roman" w:cs="Calibri"/>
          <w:kern w:val="2"/>
        </w:rPr>
      </w:pPr>
      <w:r>
        <w:rPr>
          <w:rFonts w:eastAsia="Times New Roman" w:cs="Calibri"/>
          <w:kern w:val="2"/>
        </w:rPr>
        <w:t>nasilające się zjawisko Miejskiej Wyspy Ciepła,</w:t>
      </w:r>
    </w:p>
    <w:p>
      <w:pPr>
        <w:pStyle w:val="Normal"/>
        <w:numPr>
          <w:ilvl w:val="0"/>
          <w:numId w:val="10"/>
        </w:numPr>
        <w:spacing w:lineRule="auto" w:line="276" w:before="0" w:after="0"/>
        <w:ind w:left="851" w:hanging="284"/>
        <w:contextualSpacing/>
        <w:jc w:val="both"/>
        <w:rPr>
          <w:rFonts w:eastAsia="Times New Roman" w:cs="Calibri"/>
          <w:kern w:val="2"/>
        </w:rPr>
      </w:pPr>
      <w:r>
        <w:rPr>
          <w:rFonts w:eastAsia="Times New Roman" w:cs="Calibri"/>
          <w:kern w:val="2"/>
        </w:rPr>
        <w:t>wzrost okresów bezopadowych z wysoką temperaturą,</w:t>
      </w:r>
    </w:p>
    <w:p>
      <w:pPr>
        <w:pStyle w:val="Normal"/>
        <w:numPr>
          <w:ilvl w:val="0"/>
          <w:numId w:val="10"/>
        </w:numPr>
        <w:spacing w:lineRule="auto" w:line="276" w:before="0" w:after="0"/>
        <w:ind w:left="851" w:hanging="284"/>
        <w:contextualSpacing/>
        <w:jc w:val="both"/>
        <w:rPr>
          <w:rFonts w:eastAsia="Times New Roman" w:cs="Calibri"/>
          <w:kern w:val="2"/>
        </w:rPr>
      </w:pPr>
      <w:r>
        <w:rPr>
          <w:rFonts w:eastAsia="Times New Roman" w:cs="Calibri"/>
          <w:kern w:val="2"/>
        </w:rPr>
        <w:t>wzrost liczby dni z burzą,</w:t>
      </w:r>
    </w:p>
    <w:p>
      <w:pPr>
        <w:pStyle w:val="Normal"/>
        <w:numPr>
          <w:ilvl w:val="0"/>
          <w:numId w:val="10"/>
        </w:numPr>
        <w:spacing w:lineRule="auto" w:line="276" w:before="0" w:after="0"/>
        <w:ind w:left="851" w:hanging="284"/>
        <w:contextualSpacing/>
        <w:jc w:val="both"/>
        <w:rPr>
          <w:rFonts w:eastAsia="Times New Roman" w:cs="Calibri"/>
          <w:kern w:val="2"/>
        </w:rPr>
      </w:pPr>
      <w:r>
        <w:rPr>
          <w:rFonts w:eastAsia="Times New Roman" w:cs="Calibri"/>
          <w:kern w:val="2"/>
        </w:rPr>
        <w:t>wysokie poziomy stężeń pyłu PM10 oraz możliwość występowania smogu zimowego.</w:t>
      </w:r>
    </w:p>
    <w:p>
      <w:pPr>
        <w:pStyle w:val="Normal"/>
        <w:rPr/>
      </w:pPr>
      <w:r>
        <w:rPr/>
      </w:r>
    </w:p>
    <w:p>
      <w:pPr>
        <w:pStyle w:val="Normal"/>
        <w:spacing w:lineRule="auto" w:line="276" w:before="0" w:after="0"/>
        <w:jc w:val="both"/>
        <w:rPr/>
      </w:pPr>
      <w:r>
        <w:rPr/>
        <w:t xml:space="preserve">Zjawiska te stanowią poważne zagrożenie dla prawidłowego funkcjonowania miasta oraz zdrowia </w:t>
        <w:br/>
        <w:t>i życia jego mieszkańców. Problemy miasta związane ze zmianą klimatu dotyczą sektorów: zdrowie publiczne/grupy wrażliwe, transport, gospodarka wodna i energetyka.</w:t>
      </w:r>
    </w:p>
    <w:p>
      <w:pPr>
        <w:pStyle w:val="Normal"/>
        <w:spacing w:lineRule="auto" w:line="276" w:before="0" w:after="0"/>
        <w:jc w:val="both"/>
        <w:rPr/>
      </w:pPr>
      <w:r>
        <w:rPr/>
        <w:t>Miejski Plan Adaptacji Włocławka ma na celu przede wszystkim przystosowanie miasta do zmian klimatu, zwiększenie jego odporności na zjawiska ekstremalne oraz zwiększenie potencjału do radzenia sobie ze skutkami zmian klimatu obserwowanego w mieście.</w:t>
      </w:r>
    </w:p>
    <w:p>
      <w:pPr>
        <w:pStyle w:val="Normal"/>
        <w:spacing w:lineRule="auto" w:line="276"/>
        <w:jc w:val="both"/>
        <w:rPr/>
      </w:pPr>
      <w:r>
        <w:rPr/>
        <w:t>Kluczowym problemem miasta jest wzrost średniej globalnej temperatury, zwiększenie intensywności nagłych i niebezpiecznych zjawisk atmosferycznych takich jak burze wraz z towarzyszącymi silnymi wiatrami, gradem, okresy bezopadowe z wysoką temperaturą oraz zanieczyszczenie środowiska</w:t>
        <w:br/>
        <w:t xml:space="preserve"> i zjawisko smogu. Na obszarach zurbanizowanych coraz częściej tworzą się miejskie wyspy ciepła. Populacja miasta podatna jest w szczególności na zjawiska termiczne, tj. fale upałów wzmocnione efektem miejskiej wyspy ciepła. Szczególnie wrażliwe na bodźce klimatyczne są osoby starsze powyżej 65 roku życia oraz osoby przewlekle chore, u których fale gorąca mogą powodować wzrost ryzyka zgonu, udarów cieplnych, problemy układu oddechowego lub chorób związanych z niebezpiecznymi warunkami termicznymi czy dużym nasłonecznieniem.  Dyskomfort zdrowotny powodują również spore wahania temperatury i ciśnienia szczególnie w przejściowych porach roku.  W przypadku grup pozostałych, tj. populacja miasta, dzieci poniżej 5 roku życia, osoby niepełnosprawne z ograniczoną mobilnością oraz osoby bezdomne, ich wrażliwość na bodźce klimatyczne określono na poziomie wysokim.  </w:t>
      </w:r>
    </w:p>
    <w:p>
      <w:pPr>
        <w:pStyle w:val="Normal"/>
        <w:spacing w:lineRule="auto" w:line="276" w:before="0" w:after="0"/>
        <w:jc w:val="both"/>
        <w:rPr/>
      </w:pPr>
      <w:bookmarkStart w:id="116" w:name="_Hlk133230549"/>
      <w:r>
        <w:rPr/>
        <w:t>Zaleca się podjęcie działań polegających na:</w:t>
      </w:r>
      <w:bookmarkEnd w:id="116"/>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tworzeniu zielonych ścian na obiektach ochrony zdrowia i opieki społecznej oraz instalowanie klimatyzacji w tych placówkach </w:t>
      </w:r>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ochronie i rozwojowi terenów zielonych poprzez nasadzanie drzew i krzewów wraz z pracami pielęgnacyjnymi </w:t>
      </w:r>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zwiększenie terenów zielonych mieście</w:t>
      </w:r>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 </w:t>
      </w:r>
      <w:r>
        <w:rPr>
          <w:rFonts w:eastAsia="Times New Roman" w:cs="Times New Roman"/>
          <w:kern w:val="2"/>
        </w:rPr>
        <w:t>budowie fontann, kurtyn wodnych, zacienionych placów zabaw i boisk</w:t>
      </w:r>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wyposażeniu budynków oświatowych w systemy klimatyzacyjne, przeprowadzenie termomodernizacji tych budynków</w:t>
      </w:r>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nasadzeniu roślinności w rejonie infrastruktury transportowej dla stworzenia naturalnej bariery pomiędzy strefa piesza a jezdnią oraz w pasach zieleni przy grogach dwujezdniowych </w:t>
      </w:r>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podejmowaniu działań w celu poprawy dostępności miasta dla osób niepełnosprawnych, stosowaniu rozwiązań poprawiających warunki życia tych osób, poprawy skuteczności działania systemu ostrzegania o zagrożeniach o zjawiskach związanych ze zmianami klimatu, jak również podnoszenie poziomu świadomości społecznej mieszkańców</w:t>
      </w:r>
    </w:p>
    <w:p>
      <w:pPr>
        <w:pStyle w:val="Normal"/>
        <w:numPr>
          <w:ilvl w:val="0"/>
          <w:numId w:val="7"/>
        </w:numPr>
        <w:spacing w:lineRule="auto" w:line="276" w:before="0" w:after="0"/>
        <w:ind w:left="851" w:hanging="284"/>
        <w:contextualSpacing/>
        <w:jc w:val="both"/>
        <w:rPr>
          <w:rFonts w:eastAsia="Times New Roman" w:cs="Times New Roman"/>
          <w:kern w:val="2"/>
        </w:rPr>
      </w:pPr>
      <w:r>
        <w:rPr>
          <w:rFonts w:eastAsia="Times New Roman" w:cs="Times New Roman"/>
          <w:kern w:val="2"/>
        </w:rPr>
        <w:t>regularnej pielęgnacji i wycince drzew stwarzających zagrożenie w czasie silnych wiatrów</w:t>
        <w:br/>
        <w:t xml:space="preserve"> i burz w pobliżu dróg, parkingów</w:t>
      </w:r>
    </w:p>
    <w:p>
      <w:pPr>
        <w:pStyle w:val="Normal"/>
        <w:spacing w:lineRule="auto" w:line="360" w:before="0" w:after="0"/>
        <w:rPr>
          <w:rFonts w:eastAsia="Times New Roman" w:cs="Times New Roman"/>
          <w:kern w:val="2"/>
        </w:rPr>
      </w:pPr>
      <w:r>
        <w:rPr>
          <w:rFonts w:eastAsia="Times New Roman" w:cs="Times New Roman"/>
          <w:kern w:val="2"/>
        </w:rPr>
        <w:t xml:space="preserve"> </w:t>
      </w:r>
    </w:p>
    <w:p>
      <w:pPr>
        <w:pStyle w:val="Normal"/>
        <w:spacing w:lineRule="auto" w:line="276" w:before="0" w:after="0"/>
        <w:jc w:val="both"/>
        <w:rPr/>
      </w:pPr>
      <w:r>
        <w:rPr/>
        <w:t xml:space="preserve">Kolejnym wrażliwym komponentem na zmiany klimatu jest gospodarka wodna: podsystem zaopatrzenia w wodę oraz podsystem gospodarki ściekowej.  </w:t>
      </w:r>
    </w:p>
    <w:p>
      <w:pPr>
        <w:pStyle w:val="Normal"/>
        <w:spacing w:lineRule="auto" w:line="276" w:before="0" w:after="0"/>
        <w:jc w:val="both"/>
        <w:rPr/>
      </w:pPr>
      <w:r>
        <w:rPr/>
        <w:t xml:space="preserve">Podsystem zaopatrzenia w wodę jest podatny na zagrożenia związane z okresami niżówkowymi </w:t>
        <w:br/>
        <w:t xml:space="preserve">i niedoborami wody. Należy mieć tu na uwadze, iż obserwowane trendy zmiany klimatu mogą mieć wpływ na wzrost zapotrzebowania mieszkańców na wodę pitną.    </w:t>
      </w:r>
    </w:p>
    <w:p>
      <w:pPr>
        <w:pStyle w:val="Normal"/>
        <w:spacing w:lineRule="auto" w:line="276" w:before="0" w:after="0"/>
        <w:jc w:val="both"/>
        <w:rPr/>
      </w:pPr>
      <w:r>
        <w:rPr/>
        <w:t>Podsystem gospodarki ściekowej jest szczególnie wrażliwy na zjawiska związane z intensywnymi opadami deszczu, gdyż powodują one krótkotrwały wzrost przepływów w kanalizacji ogólnospławnej</w:t>
        <w:br/>
        <w:t xml:space="preserve"> i deszczowej a czasem jej niewydolność i opóźniony odpływ z powierzchni ziemi a to powoduje występowanie powodzi nagłych/powodzi miejskich. Przeciążenie systemu może również doprowadzić do wymywania zanieczyszczeń z osadów, a w dalszej kolejności do zanieczyszczenia mikrobiologicznego cieków lub wód gruntowych. Nadmiar ścieków może prowadzić także do wybijania studzienek, co przyczynia się do rozwoju chorób wodozależnych. Lokalne podtopienia związane </w:t>
        <w:br/>
        <w:t>są z niedostatecznym przygotowaniem systemu odbioru i odprowadzania wód do kanalizacji, a przede wszystkim z niedostateczną retencją.</w:t>
      </w:r>
    </w:p>
    <w:p>
      <w:pPr>
        <w:pStyle w:val="Normal"/>
        <w:spacing w:lineRule="auto" w:line="276" w:before="0" w:after="0"/>
        <w:ind w:firstLine="567"/>
        <w:jc w:val="both"/>
        <w:rPr>
          <w:rFonts w:eastAsia="Times New Roman" w:cs="Times New Roman"/>
          <w:kern w:val="2"/>
        </w:rPr>
      </w:pPr>
      <w:r>
        <w:rPr>
          <w:rFonts w:eastAsia="Times New Roman" w:cs="Times New Roman"/>
          <w:kern w:val="2"/>
        </w:rPr>
        <w:t>Zaleca się podjęcie działań polegających na:</w:t>
      </w:r>
    </w:p>
    <w:p>
      <w:pPr>
        <w:pStyle w:val="Normal"/>
        <w:numPr>
          <w:ilvl w:val="0"/>
          <w:numId w:val="8"/>
        </w:numPr>
        <w:spacing w:lineRule="auto" w:line="276" w:before="0" w:after="0"/>
        <w:ind w:left="851" w:hanging="284"/>
        <w:contextualSpacing/>
        <w:jc w:val="both"/>
        <w:rPr>
          <w:rFonts w:eastAsia="Times New Roman" w:cs="Times New Roman"/>
          <w:kern w:val="2"/>
        </w:rPr>
      </w:pPr>
      <w:r>
        <w:rPr>
          <w:rFonts w:eastAsia="Times New Roman" w:cs="Times New Roman"/>
          <w:kern w:val="2"/>
        </w:rPr>
        <w:t>rozbudowie systemu ostrzegania i informowania o niebezpieczeństwach w przestrzeni publicznej oraz ostrzegania przeciwpowodziowego mieszkańców</w:t>
      </w:r>
    </w:p>
    <w:p>
      <w:pPr>
        <w:pStyle w:val="Normal"/>
        <w:numPr>
          <w:ilvl w:val="0"/>
          <w:numId w:val="8"/>
        </w:numPr>
        <w:spacing w:lineRule="auto" w:line="276" w:before="0" w:after="0"/>
        <w:ind w:left="851" w:hanging="284"/>
        <w:contextualSpacing/>
        <w:jc w:val="both"/>
        <w:rPr>
          <w:rFonts w:eastAsia="Times New Roman" w:cs="Times New Roman"/>
          <w:kern w:val="2"/>
        </w:rPr>
      </w:pPr>
      <w:r>
        <w:rPr>
          <w:rFonts w:eastAsia="Times New Roman" w:cs="Times New Roman"/>
          <w:kern w:val="2"/>
        </w:rPr>
        <w:t>edukacji/informacji o zagrożeniach: działania informacyjne i edukacyjne</w:t>
      </w:r>
    </w:p>
    <w:p>
      <w:pPr>
        <w:pStyle w:val="Normal"/>
        <w:numPr>
          <w:ilvl w:val="0"/>
          <w:numId w:val="8"/>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szkoleniu w zakresie wykorzystania wód opadowych i wody szarej oraz edukacja w zakresie rozwiązań służących retencjonowaniu wody  </w:t>
      </w:r>
    </w:p>
    <w:p>
      <w:pPr>
        <w:pStyle w:val="Normal"/>
        <w:numPr>
          <w:ilvl w:val="0"/>
          <w:numId w:val="8"/>
        </w:numPr>
        <w:spacing w:lineRule="auto" w:line="276" w:before="0" w:after="0"/>
        <w:ind w:left="851" w:hanging="284"/>
        <w:contextualSpacing/>
        <w:jc w:val="both"/>
        <w:rPr>
          <w:rFonts w:eastAsia="Times New Roman" w:cs="Times New Roman"/>
          <w:kern w:val="2"/>
        </w:rPr>
      </w:pPr>
      <w:r>
        <w:rPr>
          <w:rFonts w:eastAsia="Times New Roman" w:cs="Times New Roman"/>
          <w:kern w:val="2"/>
        </w:rPr>
        <w:t>sukcesywna modernizacja istniejącej i budowa nowej sieci kanalizacji deszczowej wraz</w:t>
      </w:r>
    </w:p>
    <w:p>
      <w:pPr>
        <w:pStyle w:val="Normal"/>
        <w:spacing w:lineRule="auto" w:line="276" w:before="0" w:after="0"/>
        <w:ind w:left="851" w:hanging="0"/>
        <w:contextualSpacing/>
        <w:jc w:val="both"/>
        <w:rPr>
          <w:rFonts w:eastAsia="Times New Roman" w:cs="Times New Roman"/>
          <w:kern w:val="2"/>
        </w:rPr>
      </w:pPr>
      <w:r>
        <w:rPr>
          <w:rFonts w:eastAsia="Times New Roman" w:cs="Times New Roman"/>
          <w:kern w:val="2"/>
        </w:rPr>
        <w:t xml:space="preserve"> </w:t>
      </w:r>
      <w:r>
        <w:rPr>
          <w:rFonts w:eastAsia="Times New Roman" w:cs="Times New Roman"/>
          <w:kern w:val="2"/>
        </w:rPr>
        <w:t xml:space="preserve">z urządzeniami podczyszczającymi </w:t>
      </w:r>
    </w:p>
    <w:p>
      <w:pPr>
        <w:pStyle w:val="Normal"/>
        <w:numPr>
          <w:ilvl w:val="0"/>
          <w:numId w:val="8"/>
        </w:numPr>
        <w:spacing w:lineRule="auto" w:line="276" w:before="0" w:after="0"/>
        <w:ind w:left="851" w:hanging="284"/>
        <w:contextualSpacing/>
        <w:jc w:val="both"/>
        <w:rPr>
          <w:rFonts w:eastAsia="Times New Roman" w:cs="Times New Roman"/>
          <w:kern w:val="2"/>
        </w:rPr>
      </w:pPr>
      <w:r>
        <w:rPr>
          <w:rFonts w:eastAsia="Times New Roman" w:cs="Times New Roman"/>
          <w:kern w:val="2"/>
        </w:rPr>
        <w:t>budowa nowych i remont istniejących wałów przeciwpowodziowych w przebiegu rzeki Wisły.</w:t>
      </w:r>
    </w:p>
    <w:p>
      <w:pPr>
        <w:pStyle w:val="Normal"/>
        <w:spacing w:lineRule="auto" w:line="360" w:before="0" w:after="0"/>
        <w:rPr>
          <w:rFonts w:eastAsia="Times New Roman" w:cs="Times New Roman"/>
          <w:kern w:val="2"/>
        </w:rPr>
      </w:pPr>
      <w:r>
        <w:rPr>
          <w:rFonts w:eastAsia="Times New Roman" w:cs="Times New Roman"/>
          <w:kern w:val="2"/>
        </w:rPr>
      </w:r>
    </w:p>
    <w:p>
      <w:pPr>
        <w:pStyle w:val="Normal"/>
        <w:spacing w:lineRule="auto" w:line="276"/>
        <w:jc w:val="both"/>
        <w:rPr/>
      </w:pPr>
      <w:r>
        <w:rPr/>
        <w:t>Na zmiany klimatyczne narażony jest również transport, w którego skład wchodzą następujące komponenty: podsystem szynowy, drogowy, transport publiczny miejski oraz wodny śródlądowy.  Sektor ten jest podatny na zjawiska i czynniki związane ze zmianami klimatu takie jak: wysoka temperatura, upał, temperatura minimalna, deszcze, nawałnice, ekstremalne opady śniegu, okresy niżówkowe, powodzie nagłe/miejskie, silny wiatr, burze w tym burze z gradem. Jednym z najbardziej dokuczliwych zjawisk są wysokie temperatury i upały, szczególnie długotrwałe, które oddziałują negatywnie zarówno na pojazdy, jak i na elementy infrastruktury drogowej i szynowej.</w:t>
      </w:r>
    </w:p>
    <w:p>
      <w:pPr>
        <w:pStyle w:val="Normal"/>
        <w:spacing w:lineRule="auto" w:line="276"/>
        <w:jc w:val="both"/>
        <w:rPr/>
      </w:pPr>
      <w:r>
        <w:rPr/>
        <w:t xml:space="preserve"> </w:t>
      </w:r>
      <w:r>
        <w:rPr/>
        <w:t xml:space="preserve">Dla transportu szynowego (kolej), drogowego oraz środków transportu publicznego (autobusy) pojawiają się uciążliwości związane z koniecznością efektywnego klimatyzowania kabin pasażerskich, tj. zwiększenie kosztów poboru energii i wyższe zużycie paliwa. Podsystem szynowy jest podatny </w:t>
        <w:br/>
        <w:t>na występowanie temperatury minimalnej, deszczy nawalnych, ekstremalnych opadów śniegu oraz silnych wiatrów. Ujemna temperatura sprzyja pękaniu szyn, zamarzaniu pojazdów, powoduje oblodzenie i zrywanie sieci trakcyjnych i energetycznych. Deszcze powodują podtopienia i zalanie dróg kolejowych, dojazdów, uszkodzenia infrastruktury kolejowej.</w:t>
      </w:r>
    </w:p>
    <w:p>
      <w:pPr>
        <w:pStyle w:val="Normal"/>
        <w:spacing w:lineRule="auto" w:line="276"/>
        <w:jc w:val="both"/>
        <w:rPr/>
      </w:pPr>
      <w:r>
        <w:rPr/>
        <w:t xml:space="preserve">Dla komponentu transportu drogowego konsekwencje występowania wysokich temperatur wiążą się ze zwiększeniem podatności nawierzchni bitumicznych na oddziaływania pojazdów oraz ograniczeniami w ruchu ciężkich pojazdów. Dla podsystemu transportu publicznego oraz drogowego zagrożenia stanowią zjawiska związane z nawalnymi ulewami. Długotrwałe opady mogą wywołać zalanie lub podtopienie szlaków komunikacyjnych i spowodować krótkotrwałe lub dłuższe zakłócenia w funkcjonowaniu systemu transportu. Biorąc pod uwagę wzrost częstotliwości wystąpienia gwałtownych burz i towarzyszącego im wiatru, nie można wykluczyć również potencjalnych konsekwencji dla podsystemu szynowego i drogowego, wśród których można wymienić: zerwanie lub uszkodzenie trakcji kolejowej oraz utrudnienie w ruchu drogowym spowodowane przez powalone drzewa. </w:t>
      </w:r>
    </w:p>
    <w:p>
      <w:pPr>
        <w:pStyle w:val="Normal"/>
        <w:spacing w:lineRule="auto" w:line="276"/>
        <w:jc w:val="both"/>
        <w:rPr/>
      </w:pPr>
      <w:r>
        <w:rPr/>
        <w:t xml:space="preserve">Podsystem transport miejski publiczny charakteryzuje się niską podatnością na zjawiska klimatyczne. Jest on wrażliwy na takie zjawiska jak: deszcze nawalne i związane z nim powodzie nagłe/powodzie miejskie, ekstremalne opady śniegu oraz silny i bardzo silny wiatr oraz burze (w tym burze z gradem). Zjawiska takie mogą utrudnić funkcjonowanie transportu publicznego miejskiego – zalane ulice, ośnieżone drogi, powalane na drogi drzewa. Potencjał adaptacyjny miasta w tym zakresie zależy przede wszystkim od wyszkolenia i sprawnego reagowania służb miejskich na zagrożenia kryzysowe podczas wystąpienia ekstremalnych zjawisk klimatycznych. Istotna rolę odgrywa funkcjonowanie systemów ostrzegania społeczności miasta o zagrożeniach oraz możliwości miasta pozwalające na wdrożenie odpowiedniego planowania i organizowanie systemu transportowego w sposób, który zagwarantuje zaspokajanie potrzeb komunikacyjnych mieszkańców jednocześnie umożliwi funkcjonowanie służb miejskich. Jak wykazały analizy podsystem wodny (śródlądowy) jest podatny na zagrożenia związane </w:t>
        <w:br/>
        <w:t>z okresami niżówkowymi.</w:t>
      </w:r>
    </w:p>
    <w:p>
      <w:pPr>
        <w:pStyle w:val="Normal"/>
        <w:spacing w:lineRule="auto" w:line="276"/>
        <w:jc w:val="both"/>
        <w:rPr/>
      </w:pPr>
      <w:r>
        <w:rPr/>
        <w:t xml:space="preserve">Na zmiany klimatyczne w sektorze energetycznym wrażliwym komponentem jest podsystem elektroenergetyczny. Zarówno pod wpływem wzrostu temperatury maksymalnej, fal upałów, </w:t>
        <w:br/>
        <w:t xml:space="preserve">jak i występującej w tym czasie MWC, dochodzi do nadmiernego obciążenia systemu elektroenergetycznego urządzeniami elektrycznymi.  Zwiększony pobór energii elektrycznej </w:t>
        <w:br/>
        <w:t xml:space="preserve">na potrzeby urządzeń chłodniczych (klimatyzatory, wentylatory) występuje u odbiorców indywidualnych oraz przemysłowych. Ograniczone zasoby mocy w okresie fal upałów sprawiają, </w:t>
        <w:br/>
        <w:t xml:space="preserve">że trudniej jest pokryć zwiększone obciążenie. Natomiast silny wiatr (w tym burze z gradem) skutkuje zerwaniem sieci napowietrznych przez powalone drzewa, powodując awarie w dostawie prądu </w:t>
        <w:br/>
        <w:t>czy oświetlenia ulicznego w rejonach zabudowy oraz wzdłuż ulic. Poprzez wyładowania atmosferyczne spowodowane burzami występuje ryzyko uszkodzenia lub zakłócenia pracy urządzeń elektrycznych. Podsystem ciepłowniczy natomiast skupia się na spalaniu paliw w kotłach o niskiej sprawności spalania, zainstalowanych m.in. w budynkach jednorodzinnych, budynkach wielorodzinnych z lokalnymi systemami ogrzewania, obiektach użyteczności publicznej czy zakładach usługowych, co wpływa na znaczne pogorszenie się jakości powietrza obserwowane zwłaszcza w sezonie grzewczym. Szczególnie uciążliwe dla miasta są rodzaje ogrzewania wykorzystujące energię pochodzącą ze spalania węgla kamiennego, czego konsekwencję jest podwyższona koncentracja zanieczyszczeń powietrza.</w:t>
      </w:r>
    </w:p>
    <w:p>
      <w:pPr>
        <w:pStyle w:val="Normal"/>
        <w:spacing w:lineRule="auto" w:line="276"/>
        <w:jc w:val="both"/>
        <w:rPr/>
      </w:pPr>
      <w:r>
        <w:rPr/>
        <w:t>Zaleca się podjęcie działań polegających na:</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przeprowadzeniu kampanii informacyjno-edukacyjnych w zakresie niskiej emisji</w:t>
        <w:br/>
        <w:t xml:space="preserve"> i kształtowaniu postaw służących efektywnemu wykorzystywaniu energii </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modernizacji i rozbudowie sieci energetycznych w tym skablowanie sieci napowietrznych</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termomodernizacji budynków użyteczności publicznej, ograniczeniu emisji niskiej </w:t>
      </w:r>
    </w:p>
    <w:p>
      <w:pPr>
        <w:pStyle w:val="Normal"/>
        <w:spacing w:lineRule="auto" w:line="276" w:before="0" w:after="0"/>
        <w:ind w:left="851" w:hanging="0"/>
        <w:contextualSpacing/>
        <w:jc w:val="both"/>
        <w:rPr>
          <w:rFonts w:eastAsia="Times New Roman" w:cs="Times New Roman"/>
          <w:kern w:val="2"/>
        </w:rPr>
      </w:pPr>
      <w:r>
        <w:rPr>
          <w:rFonts w:eastAsia="Times New Roman" w:cs="Times New Roman"/>
          <w:kern w:val="2"/>
        </w:rPr>
        <w:t>do powietrza ze źródeł lokalnych (eliminowanie spalania odpadów w gospodarstwach domowych) oraz kontroli właścicieli nieruchomości</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budowie instalacji odsiarczania i odgazowania spalin, budowie instalacji odpylania spalin </w:t>
      </w:r>
    </w:p>
    <w:p>
      <w:pPr>
        <w:pStyle w:val="Normal"/>
        <w:spacing w:lineRule="auto" w:line="276" w:before="0" w:after="0"/>
        <w:ind w:left="851" w:hanging="0"/>
        <w:contextualSpacing/>
        <w:jc w:val="both"/>
        <w:rPr>
          <w:rFonts w:eastAsia="Times New Roman" w:cs="Times New Roman"/>
          <w:kern w:val="2"/>
        </w:rPr>
      </w:pPr>
      <w:r>
        <w:rPr>
          <w:rFonts w:eastAsia="Times New Roman" w:cs="Times New Roman"/>
          <w:kern w:val="2"/>
        </w:rPr>
        <w:t>z kotłów węglowych ciepłowni MPEC oraz budowie i przebudowie sieci ciepłowniczej</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przeprowadzeniu termomodernizacji budynków wielorodzinnych</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rozwojowi zrównoważonego transportu zbiorowego poprzez poprawę efektywności energetycznej, wdrażania technologii nisko emisyjnej</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 xml:space="preserve">uwzględnieniu w planach zagospodarowania przestrzennego zapisów mogących wpływać </w:t>
      </w:r>
    </w:p>
    <w:p>
      <w:pPr>
        <w:pStyle w:val="Normal"/>
        <w:spacing w:lineRule="auto" w:line="276" w:before="0" w:after="0"/>
        <w:ind w:left="851" w:hanging="0"/>
        <w:contextualSpacing/>
        <w:jc w:val="both"/>
        <w:rPr>
          <w:rFonts w:eastAsia="Times New Roman" w:cs="Times New Roman"/>
          <w:kern w:val="2"/>
        </w:rPr>
      </w:pPr>
      <w:r>
        <w:rPr>
          <w:rFonts w:eastAsia="Times New Roman" w:cs="Times New Roman"/>
          <w:kern w:val="2"/>
        </w:rPr>
        <w:t>na ograniczenie emisji zanieczyszczeń</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budowie miejskiego systemu transportowych ścieżek rowerowych</w:t>
      </w:r>
    </w:p>
    <w:p>
      <w:pPr>
        <w:pStyle w:val="Normal"/>
        <w:numPr>
          <w:ilvl w:val="0"/>
          <w:numId w:val="9"/>
        </w:numPr>
        <w:spacing w:lineRule="auto" w:line="276" w:before="0" w:after="0"/>
        <w:ind w:left="851" w:hanging="284"/>
        <w:contextualSpacing/>
        <w:jc w:val="both"/>
        <w:rPr>
          <w:rFonts w:eastAsia="Times New Roman" w:cs="Times New Roman"/>
          <w:kern w:val="2"/>
        </w:rPr>
      </w:pPr>
      <w:r>
        <w:rPr>
          <w:rFonts w:eastAsia="Times New Roman" w:cs="Times New Roman"/>
          <w:kern w:val="2"/>
        </w:rPr>
        <w:t>nasadzeniu roślinności w rejonie infrastruktury transportowej</w:t>
      </w:r>
    </w:p>
    <w:p>
      <w:pPr>
        <w:pStyle w:val="Normal"/>
        <w:rPr/>
      </w:pPr>
      <w:r>
        <w:rPr/>
      </w:r>
    </w:p>
    <w:p>
      <w:pPr>
        <w:pStyle w:val="Normal"/>
        <w:spacing w:lineRule="auto" w:line="276"/>
        <w:jc w:val="both"/>
        <w:rPr/>
      </w:pPr>
      <w:r>
        <w:rPr/>
        <w:t xml:space="preserve">Głównym celem Planu Adaptacji jest zwiększenie odporności miasta na przewidywane </w:t>
        <w:br/>
        <w:t>w perspektywie 2030 roku zmiany intensywności i częstości występowania zjawisk klimatycznych i ich pochodnych, poprzez podjęcie wielu działań adaptacyjnych dających elekt synergii. Działania adaptacyjne pomogą miastu przystosować się do zmian klimatu, redukując podatność sektorów miasta: zdrowia publicznego/grup wrażliwych, gospodarki wodnej, transportu oraz energetyki. Ponadto zadaniem Planu adaptacji miasta Włocławka jest poszerzanie wiedzy i świadomości zaangażowanych podmiotów, interesariuszy i mieszkańców miasta. Skuteczna adaptacja nie ogranicza się bowiem jedynie do realizacji listy zadań adaptacyjnych, ale niezwykle istotne jest także podejmowanie skutecznych działań w ramach przedsięwzięć już realizowanych, a także w naszym codziennym życiu.</w:t>
      </w:r>
    </w:p>
    <w:p>
      <w:pPr>
        <w:pStyle w:val="Normal"/>
        <w:rPr>
          <w:b/>
          <w:bCs/>
        </w:rPr>
      </w:pPr>
      <w:r>
        <w:rPr>
          <w:b/>
          <w:bCs/>
        </w:rPr>
        <w:t>Podsumowanie – Ryzyko wynikające ze zmian klimatu</w:t>
      </w:r>
    </w:p>
    <w:p>
      <w:pPr>
        <w:pStyle w:val="Normal"/>
        <w:spacing w:lineRule="auto" w:line="276"/>
        <w:jc w:val="both"/>
        <w:rPr>
          <w:rFonts w:ascii="Calibri" w:hAnsi="Calibri" w:cs="Calibri"/>
        </w:rPr>
      </w:pPr>
      <w:bookmarkStart w:id="117" w:name="_Toc512325064"/>
      <w:r>
        <w:rPr>
          <w:rFonts w:cs="Calibri"/>
        </w:rPr>
        <w:t xml:space="preserve">Dla miasta Włocławek ryzyko wynikające ze zmian klimatu na bardzo wysokim poziomie oszacowano dla wszystkich czterech najbardziej wrażliwych sektorów tj. zdrowia publicznego (grup wrażliwych), gospodarki wodnej, transportu oraz energetyki. </w:t>
      </w:r>
    </w:p>
    <w:p>
      <w:pPr>
        <w:pStyle w:val="Normal"/>
        <w:spacing w:lineRule="auto" w:line="276" w:before="0" w:after="0"/>
        <w:jc w:val="both"/>
        <w:rPr>
          <w:rFonts w:ascii="Calibri" w:hAnsi="Calibri" w:cs="Calibri"/>
        </w:rPr>
      </w:pPr>
      <w:r>
        <w:rPr>
          <w:rFonts w:cs="Calibri"/>
        </w:rPr>
        <w:t xml:space="preserve">Ryzyko na poziomie bardzo wysokim dla sektora zdrowie publiczne/ grupy wrażliwe zidentyfikowano dla takich zjawisk, jak: temperatura maksymalna oraz fale upałów w odniesieniu do komponentów: </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osoby&gt;65 roku życia</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osoby przewlekle chore (choroby układu krążenia i układu oddechowego).</w:t>
      </w:r>
    </w:p>
    <w:p>
      <w:pPr>
        <w:pStyle w:val="Normal"/>
        <w:spacing w:lineRule="auto" w:line="276" w:before="0" w:after="0"/>
        <w:jc w:val="both"/>
        <w:rPr/>
      </w:pPr>
      <w:r>
        <w:rPr/>
        <w:t xml:space="preserve">W sektorze </w:t>
      </w:r>
      <w:r>
        <w:rPr>
          <w:bCs/>
        </w:rPr>
        <w:t>gospodarki wodnej, transportu oraz energetyki</w:t>
      </w:r>
      <w:r>
        <w:rPr/>
        <w:t>, nie przewiduje się ryzyka na bardzo wysokim poziomie.</w:t>
      </w:r>
    </w:p>
    <w:p>
      <w:pPr>
        <w:pStyle w:val="Normal"/>
        <w:spacing w:lineRule="auto" w:line="276" w:before="0" w:after="0"/>
        <w:jc w:val="both"/>
        <w:rPr/>
      </w:pPr>
      <w:r>
        <w:rPr/>
        <w:t xml:space="preserve">Ryzyko na poziomie wysokim dla sektora </w:t>
      </w:r>
      <w:r>
        <w:rPr>
          <w:bCs/>
        </w:rPr>
        <w:t>zdrowie publiczne / grupy wrażliwe</w:t>
      </w:r>
      <w:r>
        <w:rPr/>
        <w:t xml:space="preserve"> zidentyfikowano natomiast dla takich zjawisk, jak:</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temperatura maksymalna i fale upałów - z wyjątkiem wymienionych wyżej grup wrażliwych,</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 xml:space="preserve">miejska powierzchniowa wyspa ciepła, deszcze nawalne, koncentracja zanieczyszczeń powietrza, smog oraz burze, w tym burze z gradem - populacja miasta, osoby &gt; 65 roku życia, dzieci &lt; 5 roku życia, osoby przewlekle chore (choroby układu krążenia i układu oddechowego), osoby niepełnosprawne z ograniczoną mobilnością, osoby bezdomne, </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międzydobowa zmiana temperatury, powodzie nagłe / powodzie miejskie - populacja miasta, osoby &gt; 65 roku życia, dzieci &lt; 5 roku życia, osoby przewlekle chore (choroby układu krążenia i układu oddechowego), osoby niepełnosprawne z ograniczoną mobilnością,</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okresy bezopadowe z wysoką temperaturą - populacja miasta, osoby &gt; 65 roku życia, dzieci &lt; 5 roku życia, osoby przewlekle chore (choroby układu krążenia i układu oddechowego), osoby niepełnosprawne z ograniczoną mobilnością, osoby bezdomne, infrastruktura ochrony zdrowia, infrastruktura opieki społecznej.</w:t>
      </w:r>
    </w:p>
    <w:p>
      <w:pPr>
        <w:pStyle w:val="Normal"/>
        <w:spacing w:lineRule="auto" w:line="276" w:before="0" w:after="0"/>
        <w:jc w:val="both"/>
        <w:rPr/>
      </w:pPr>
      <w:r>
        <w:rPr/>
        <w:t xml:space="preserve">Ryzyko na poziomie wysokim dla </w:t>
      </w:r>
      <w:r>
        <w:rPr>
          <w:b/>
        </w:rPr>
        <w:t>transportu</w:t>
      </w:r>
      <w:r>
        <w:rPr/>
        <w:t xml:space="preserve"> zidentyfikowano dla takich zjawisk, jak:</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temperatura maksymalna i fale upałów - podsystem szynowy, drogowy oraz miejski transport publiczny;</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miejska wyspa ciepła - podsystem drogowy;</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deszcze nawalne oraz powodzie nagłe / powodzie miejskie - podsystem drogowy, miejski transport publiczny;</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burze, w tym burze z gradem - podsystem drogowy i szynowy.</w:t>
      </w:r>
    </w:p>
    <w:p>
      <w:pPr>
        <w:pStyle w:val="Normal"/>
        <w:spacing w:before="0" w:after="0"/>
        <w:jc w:val="both"/>
        <w:rPr/>
      </w:pPr>
      <w:r>
        <w:rPr/>
        <w:t xml:space="preserve">Ryzyko na poziomie wysokim dla sektora </w:t>
      </w:r>
      <w:r>
        <w:rPr>
          <w:bCs/>
        </w:rPr>
        <w:t>gospodarka wodna</w:t>
      </w:r>
      <w:r>
        <w:rPr/>
        <w:t xml:space="preserve"> zidentyfikowano dla takich zjawisk, jak:</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deszcze nawalne, powodzie nagłe/powodzie miejskie - podsystem gospodarki ściekowej,</w:t>
      </w:r>
    </w:p>
    <w:p>
      <w:pPr>
        <w:pStyle w:val="Normal"/>
        <w:numPr>
          <w:ilvl w:val="0"/>
          <w:numId w:val="11"/>
        </w:numPr>
        <w:spacing w:lineRule="auto" w:line="276" w:before="0" w:after="0"/>
        <w:jc w:val="both"/>
        <w:rPr>
          <w:rFonts w:ascii="Calibri" w:hAnsi="Calibri" w:eastAsia="Times New Roman" w:cs="Calibri"/>
        </w:rPr>
      </w:pPr>
      <w:r>
        <w:rPr>
          <w:rFonts w:eastAsia="Times New Roman" w:cs="Calibri"/>
        </w:rPr>
        <w:t>okresy bezopadowe z wysoką temperaturą - podsystem zaopatrzenia w wodę.</w:t>
      </w:r>
    </w:p>
    <w:p>
      <w:pPr>
        <w:pStyle w:val="Normal"/>
        <w:spacing w:lineRule="auto" w:line="276" w:before="0" w:after="0"/>
        <w:jc w:val="both"/>
        <w:rPr/>
      </w:pPr>
      <w:r>
        <w:rPr/>
        <w:t xml:space="preserve">Ryzyko na poziomie wysokim dla sektora </w:t>
      </w:r>
      <w:r>
        <w:rPr>
          <w:bCs/>
        </w:rPr>
        <w:t>energetyka</w:t>
      </w:r>
      <w:r>
        <w:rPr/>
        <w:t xml:space="preserve"> zidentyfikowano dla takich zjawisk,</w:t>
        <w:br/>
        <w:t xml:space="preserve"> jak: temperatura maksymalna, fale upałów, miejska wyspa ciepła oraz burze (w tym burze z gradem)</w:t>
        <w:br/>
        <w:t xml:space="preserve"> dla podsystemu elektroenergetycznego.</w:t>
      </w:r>
    </w:p>
    <w:p>
      <w:pPr>
        <w:pStyle w:val="Normal"/>
        <w:spacing w:lineRule="auto" w:line="276" w:before="0" w:after="0"/>
        <w:jc w:val="both"/>
        <w:rPr/>
      </w:pPr>
      <w:r>
        <w:rPr/>
        <w:t>Dla ww. komponentów konieczne jest jak najszybsze podjęcie działań adaptacyjnych związanych ze zmniejszeniem ich podatności na zjawiska klimatyczne. Dla pozostałych komponentów ww. sektorów ryzyko zostało oszacowane na poziomie średnim i niskim, co daje swobodę do realizacji działań adaptacyjnych w dalszej perspektywie czasowej.</w:t>
      </w:r>
    </w:p>
    <w:p>
      <w:pPr>
        <w:pStyle w:val="Normal"/>
        <w:spacing w:before="0" w:after="0"/>
        <w:jc w:val="both"/>
        <w:rPr/>
      </w:pPr>
      <w:r>
        <w:rPr/>
      </w:r>
    </w:p>
    <w:p>
      <w:pPr>
        <w:pStyle w:val="2poziom"/>
        <w:numPr>
          <w:ilvl w:val="0"/>
          <w:numId w:val="0"/>
        </w:numPr>
        <w:ind w:left="1199" w:hanging="916"/>
        <w:rPr>
          <w:rFonts w:eastAsia="Times New Roman"/>
        </w:rPr>
      </w:pPr>
      <w:bookmarkStart w:id="118" w:name="_Toc512325064"/>
      <w:bookmarkStart w:id="119" w:name="_Toc143161915"/>
      <w:r>
        <w:rPr>
          <w:rFonts w:eastAsia="Times New Roman"/>
        </w:rPr>
        <w:t>2.22.  Analiza potrzeb w zakresie wsparcia administracyjnego</w:t>
      </w:r>
      <w:bookmarkEnd w:id="118"/>
      <w:bookmarkEnd w:id="119"/>
    </w:p>
    <w:p>
      <w:pPr>
        <w:pStyle w:val="Normal"/>
        <w:spacing w:lineRule="auto" w:line="276"/>
        <w:jc w:val="both"/>
        <w:rPr>
          <w:rFonts w:cs="Calibri" w:cstheme="minorHAnsi"/>
        </w:rPr>
      </w:pPr>
      <w:r>
        <w:rPr>
          <w:rFonts w:cs="Calibri" w:cstheme="minorHAnsi"/>
        </w:rPr>
        <w:t xml:space="preserve">Niezbędnym elementem skutecznej i efektywnej realizacji zadań związanych z opracowaniem </w:t>
        <w:br/>
        <w:t xml:space="preserve">i wdrożeniem </w:t>
      </w:r>
      <w:r>
        <w:rPr>
          <w:rFonts w:cs="Calibri" w:cstheme="minorHAnsi"/>
          <w:i/>
          <w:iCs/>
        </w:rPr>
        <w:t xml:space="preserve">Strategii </w:t>
      </w:r>
      <w:r>
        <w:rPr>
          <w:i/>
          <w:iCs/>
        </w:rPr>
        <w:t>Terytorialnej Miejskiego Obszaru Funkcjonalnego Włocławka</w:t>
      </w:r>
      <w:r>
        <w:rPr/>
        <w:t xml:space="preserve"> </w:t>
      </w:r>
      <w:r>
        <w:rPr>
          <w:rFonts w:cs="Calibri" w:cstheme="minorHAnsi"/>
        </w:rPr>
        <w:t xml:space="preserve">jest odpowiednio przygotowany zespół kadrowo – administracyjny obsługujący zawiązane partnerstwo. Partnerstwo jako nowa jednostka zarządzana na poziomie lokalnym, musi powołać zasób kadrowy, w celu prowadzenia statutowych działań, a także z uwagi na konieczność zapewnienia sprawnej realizacji </w:t>
        <w:br/>
        <w:t>i wdrażania Strategii na poziomie MOF. W związku z tym istnieje potrzeba wsparcia finansowego</w:t>
        <w:br/>
        <w:t xml:space="preserve"> dla tych jednostek, którym powierzone zostały zadania związane z prowadzeniem polityki terytorialnej na terenie wyodrębnionego obszaru. Wsparcie finansowe zdolności administracyjnej polega </w:t>
        <w:br/>
        <w:t>na finansowaniu wynagrodzeń pracowników, zakupie wyposażenia biura, w tym materiałów biurowych i eksploatacyjnych oraz zakupie sprzętu komputerowego wraz z oprogramowaniem, sfinansowaniu szkoleń dla pracowników, utworzeniu strony internetowej, a także organizacji spotkań, w ramach partnerstwa, związanych z wdrażaniem polityki terytorialnej i rozwijaniem współpracy.</w:t>
      </w:r>
    </w:p>
    <w:p>
      <w:pPr>
        <w:pStyle w:val="Normal"/>
        <w:spacing w:lineRule="auto" w:line="276"/>
        <w:jc w:val="both"/>
        <w:rPr>
          <w:rFonts w:cs="Calibri" w:cstheme="minorHAnsi"/>
        </w:rPr>
      </w:pPr>
      <w:r>
        <w:rPr>
          <w:rFonts w:eastAsia="Times New Roman" w:cs="Calibri" w:cstheme="minorHAnsi"/>
          <w:lang w:eastAsia="pl-PL"/>
        </w:rPr>
        <w:t xml:space="preserve">Wsparcie lokalnych struktur MOF </w:t>
      </w:r>
      <w:r>
        <w:rPr>
          <w:rFonts w:cs="Calibri" w:cstheme="minorHAnsi"/>
        </w:rPr>
        <w:t xml:space="preserve">umożliwi zapewnienie stabilnej i kompetentnej kadry pracowników, a tym samym sprawnej obsługi wdrażania polityki terytorialnej na ww. obszarze funkcjonalnym oraz </w:t>
      </w:r>
      <w:r>
        <w:rPr>
          <w:rFonts w:eastAsia="Times New Roman" w:cs="Calibri" w:cstheme="minorHAnsi"/>
          <w:lang w:eastAsia="pl-PL"/>
        </w:rPr>
        <w:t>umożliwi sprawniejsze aplikowanie o środki finansowe na realizację wskazanych projektów. Zrealizowane projekty natomiast przyczynią się do rozwoju obszaru i przeciwdziałania marginalizacji.</w:t>
      </w:r>
    </w:p>
    <w:p>
      <w:pPr>
        <w:pStyle w:val="Normal"/>
        <w:rPr>
          <w:rFonts w:cs="Calibri" w:cstheme="minorHAnsi"/>
        </w:rPr>
      </w:pPr>
      <w:r>
        <w:rPr>
          <w:rFonts w:cs="Calibri" w:cstheme="minorHAnsi"/>
        </w:rPr>
      </w:r>
    </w:p>
    <w:p>
      <w:pPr>
        <w:pStyle w:val="2poziom"/>
        <w:numPr>
          <w:ilvl w:val="0"/>
          <w:numId w:val="0"/>
        </w:numPr>
        <w:ind w:left="1057" w:hanging="774"/>
        <w:rPr/>
      </w:pPr>
      <w:bookmarkStart w:id="120" w:name="_Hlk134095941"/>
      <w:bookmarkStart w:id="121" w:name="_Toc143161916"/>
      <w:r>
        <w:rPr/>
        <w:t>2.23. Podsumowanie (identyfikacja najważniejszych problemów/ potrzeb rozwojowych obszaru, jako podstawy programowania interwencji w ramach Polityki Terytorialnej Województwa Kujawsko-Pomorskiego)</w:t>
      </w:r>
      <w:bookmarkEnd w:id="120"/>
      <w:bookmarkEnd w:id="121"/>
    </w:p>
    <w:p>
      <w:pPr>
        <w:pStyle w:val="Normal"/>
        <w:spacing w:lineRule="auto" w:line="276"/>
        <w:jc w:val="both"/>
        <w:rPr/>
      </w:pPr>
      <w:r>
        <w:rPr/>
        <w:t>Wykonana dla MOF Włocławka diagnoza wskazuje na występujące na tym obszarze silne powiązania społeczno-gospodarcze i środowiskowe. Szczególnie silnie zaznaczają się powiązania miasta rdzeniowego Włocławek z resztą obszaru MOF, które jako ośrodek regionalny zapewnia obsługę mieszkańców nie tylko na poziomie ponadlokalnym, ale również zapewnia dostęp do usług specjalistycznych (m.in. z zakresu szkolnictwa wyższego, ochrony zdrowia, administracji publicznej, usług biznesowych). Na obszarze MOF identyfikuje się także występowanie silnych powiązań transportowych, w szczególności w relacji miasto Włocławek-otoczenie, gdzie dodatkowo miasto Włocławek stanowi ważny węzeł przesiadkowy. Na poziomie lokalnym obserwuje się związki łączące wiejskie i miejskie ośrodki lokalne (najczęściej będące siedzibami gmin) i otaczające je obszary wiejskie w zakresie realizacji podstawowych usług społecznych takich jak opieka nad dziećmi i edukacja, opieka zdrowotna, kultura, a także świadczenie pracy, rekreacja i wypoczynek. Postrzeganie MOF Włocławka jako spójnego obszaru uwidacznia się również w podejmowanych przez samorządy działaniach mających wpływ na stan środowiska przyrodniczego całego terenu MOF.</w:t>
      </w:r>
    </w:p>
    <w:p>
      <w:pPr>
        <w:pStyle w:val="Normal"/>
        <w:spacing w:lineRule="auto" w:line="276"/>
        <w:jc w:val="both"/>
        <w:rPr/>
      </w:pPr>
      <w:r>
        <w:rPr/>
        <w:t>Na obszarze MOF Włocławka jako główne obszary wymagające wsparcia – w zakresie, których identyfikuje się najważniejsze problemy, potrzeby i potencjały rozwojowe - które stanowią podstawę programowania interwencji w ramach Polityki Terytorialnej Województwa Kujawsko-Pomorskiego wskazuje się przede wszystkim:</w:t>
      </w:r>
    </w:p>
    <w:p>
      <w:pPr>
        <w:pStyle w:val="Normal"/>
        <w:spacing w:lineRule="auto" w:line="276"/>
        <w:jc w:val="both"/>
        <w:rPr/>
      </w:pPr>
      <w:r>
        <w:rPr/>
        <w:t xml:space="preserve">- wychowanie przedszkolne, kształcenie ogólne i zawodowe – ze względu na występujący niski udział dzieci objętych wychowaniem przedszkolnym na części obszaru MOF oraz potrzeby w zakresie poprawy jakości świadczenia usług wychowania przedszkolnego, niską jakość kształcenia mierzoną wynikami egzaminów zewnętrznych, niedostateczne kompetencje kluczowe uczniów (zwłaszcza cyfrowe i językowe), potrzeby dostosowania szkolnictwa zawodowego do potrzeb nowoczesnego rynku pracy, jak również występujące potrzeby wsparcia infrastrukturalnego i doposażenia obiektów, organizację zajęć dodatkowych i włączających dla osób z niepełnosprawnościami oraz dzieci </w:t>
        <w:br/>
        <w:t>ze specjalnymi potrzebami edukacyjnymi, a także wsparcie kadry nauczycielskiej;</w:t>
      </w:r>
    </w:p>
    <w:p>
      <w:pPr>
        <w:pStyle w:val="Normal"/>
        <w:spacing w:lineRule="auto" w:line="276"/>
        <w:jc w:val="both"/>
        <w:rPr/>
      </w:pPr>
      <w:r>
        <w:rPr/>
        <w:t xml:space="preserve">- poprawę dostępności i podniesienie standardu zagospodarowanych ogólnodostępnych przestrzeni publicznych oraz obiektów świadczących usługi publiczne, rewitalizację i odnowę przestrzeni publicznych, wsparcie rozwoju turystyki - na obszarze występują zniszczone lub mało atrakcyjne przestrzenie i obiekty publiczne, które wymagają zagospodarowania, remontu lub doposażenia w celu podniesienia jakości świadczonych usług oraz udostępnienia ich mieszkańcom m.in. na potrzeby świadczenia usług kulturalnych, rekreacji i wypoczynku oraz włączenia społecznego; w zakresie potencjałów rozwojowych na obszarze ZIT identyfikuje się niewykorzystany w pełni potencjał </w:t>
        <w:br/>
        <w:t xml:space="preserve">do rozwoju turystyki na bazie występujących walorów przyrodniczych i kulturowych; w związku </w:t>
        <w:br/>
        <w:t>z występującym procesem starzenia się społeczeństwa dostrzega się potrzebę poprawy dostępności do usług zdrowotnych;</w:t>
      </w:r>
    </w:p>
    <w:p>
      <w:pPr>
        <w:pStyle w:val="Normal"/>
        <w:spacing w:lineRule="auto" w:line="276"/>
        <w:jc w:val="both"/>
        <w:rPr/>
      </w:pPr>
      <w:r>
        <w:rPr/>
        <w:t>- wspieranie zrównoważonej mobilności miejskiej – w mieście Włocławek identyfikuje się potrzeby związane z likwidacją luk w istniejącej sieci infrastruktury pieszo-rowerowej, co ogranicza wykorzystywanie roweru jako bezpiecznego i ekologicznego środka transportu, potrzeby w zakresie modernizacji infrastruktury przystankowej i przesiadkowej w celu poprawy funkcjonowania transportu zbiorowego oraz wymiany taboru na pojazdy niskoemisyjne;</w:t>
      </w:r>
    </w:p>
    <w:p>
      <w:pPr>
        <w:pStyle w:val="Normal"/>
        <w:spacing w:lineRule="auto" w:line="276"/>
        <w:jc w:val="both"/>
        <w:rPr/>
      </w:pPr>
      <w:r>
        <w:rPr/>
        <w:t>- poprawę efektywności energetycznej, redukcję emisji zanieczyszczeń,  adaptację do zmian klimatu, poprawę dostępu do dobrej jakości wody – ze względu na obecność na terenie MOF budynków mieszkalnych i użyteczności publicznej cechujących się słabą izolacją termiczną, wykorzystujących mało efektywne, energochłonne i nieekologiczne systemy grzewcze,  występowanie przestarzałych energochłonnych systemów oświetleniowych i przestarzałych instalacji uzdatniających wodę oraz sieci wodociągowych; identyfikuje się również potrzeby związane z przystosowaniem oraz budowaniem odporności w związku z zachodzącymi zmianami klimatu - tworzeniem zielonej i niebieskiej infrastruktury;</w:t>
      </w:r>
    </w:p>
    <w:p>
      <w:pPr>
        <w:pStyle w:val="Normal"/>
        <w:spacing w:lineRule="auto" w:line="276"/>
        <w:jc w:val="both"/>
        <w:rPr/>
      </w:pPr>
      <w:r>
        <w:rPr/>
        <w:t>- wsparcie infrastruktury biznesowej oraz terenów inwestycyjnych – ze względu na występowanie stosunkowo niskich wskaźników poziomu przedsiębiorczości na obszarze MOF oraz duże zainteresowanie usługami dla biznesu identyfikuje się potrzebę wzmacniania i rozwijania potencjału podmiotów świadczących kompleksowe usługi wsparcia dla przedsiębiorców, brak jest również wystarczającej powierzchni przygotowanych i uzbrojonych obszarów inwestycyjnych;</w:t>
      </w:r>
    </w:p>
    <w:p>
      <w:pPr>
        <w:pStyle w:val="Normal"/>
        <w:spacing w:lineRule="auto" w:line="276"/>
        <w:jc w:val="both"/>
        <w:rPr>
          <w:color w:val="00B050"/>
        </w:rPr>
      </w:pPr>
      <w:r>
        <w:rPr/>
        <w:t>- wsparcie administracyjne – w celu sprawnego wdrażania ustaleń Strategii identyfikuje się szereg potrzeb w zakresie wsparcia kadry odpowiedzialnej za realizację zadań związanych z Polityką Terytorialną oraz zakup niezbędnego wyposażenia.</w:t>
      </w:r>
    </w:p>
    <w:p>
      <w:pPr>
        <w:pStyle w:val="Normal"/>
        <w:rPr/>
      </w:pPr>
      <w:r>
        <w:rPr/>
      </w:r>
    </w:p>
    <w:p>
      <w:pPr>
        <w:pStyle w:val="Normal"/>
        <w:rPr/>
      </w:pPr>
      <w:r>
        <w:rPr/>
      </w:r>
    </w:p>
    <w:p>
      <w:pPr>
        <w:pStyle w:val="Nagwek1"/>
        <w:numPr>
          <w:ilvl w:val="0"/>
          <w:numId w:val="44"/>
        </w:numPr>
        <w:rPr/>
      </w:pPr>
      <w:bookmarkStart w:id="122" w:name="_Hlk134095991"/>
      <w:bookmarkStart w:id="123" w:name="_Toc143161917"/>
      <w:r>
        <w:rPr/>
        <w:t>Identyfikacja obszarów charakteryzujących się trudną sytuacją społeczno-gospodarczą, tj. wykazujących negatywną sytuację społeczno-gospodarczą,gmin zagrożonych trwałą marginalizacją i miast średnich tracących funkcje społeczno -gospodarcze</w:t>
      </w:r>
      <w:bookmarkEnd w:id="122"/>
      <w:bookmarkEnd w:id="123"/>
    </w:p>
    <w:p>
      <w:pPr>
        <w:pStyle w:val="Normal"/>
        <w:spacing w:lineRule="auto" w:line="276"/>
        <w:jc w:val="both"/>
        <w:rPr/>
      </w:pPr>
      <w:r>
        <w:rPr/>
        <w:t xml:space="preserve">Według Strategii rozwoju województwa kujawsko-pomorskiego - Strategia Przyspieszenia 2030+ </w:t>
        <w:br/>
        <w:t>w obrębie MOF Włocławka identyfikowane są obszary wymagające rozwiązania negatywnej sytuacji społeczno-gospodarczej (będące Obszarami Strategicznej Interwencji wskazywanymi w polityce regionalnej województwa). W ujęciu regionalnym</w:t>
      </w:r>
      <w:r>
        <w:rPr>
          <w:rStyle w:val="Zakotwiczenieprzypisudolnego"/>
          <w:vertAlign w:val="superscript"/>
        </w:rPr>
        <w:footnoteReference w:id="42"/>
      </w:r>
      <w:r>
        <w:rPr/>
        <w:t xml:space="preserve"> do gmin problemowych pod względem niskiego poziomu rozwoju społecznego i niskiego poziomu przedsiębiorczości zaliczono gminy Baruchowo, Boniewo, Choceń, Chodecz, Lubanie, Lubień Kujawski i Lubraniec</w:t>
      </w:r>
      <w:r>
        <w:rPr>
          <w:rStyle w:val="Zakotwiczenieprzypisudolnego"/>
          <w:vertAlign w:val="superscript"/>
        </w:rPr>
        <w:footnoteReference w:id="43"/>
      </w:r>
      <w:r>
        <w:rPr/>
        <w:t>. Gminę Izbica Kujawska i gminę miejską Włocławek</w:t>
      </w:r>
      <w:r>
        <w:rPr>
          <w:rStyle w:val="Zakotwiczenieprzypisudolnego"/>
        </w:rPr>
        <w:footnoteReference w:id="44"/>
      </w:r>
      <w:r>
        <w:rPr/>
        <w:t xml:space="preserve"> zakwalifikowano do gmin problemowych charakteryzujących się niskim poziomem rozwoju społecznego, z kolei gminę wiejską Kowal</w:t>
      </w:r>
      <w:r>
        <w:rPr>
          <w:rStyle w:val="Zakotwiczenieprzypisudolnego"/>
        </w:rPr>
        <w:footnoteReference w:id="45"/>
      </w:r>
      <w:r>
        <w:rPr/>
        <w:t xml:space="preserve"> do gmin cechujących się niskim poziomem przedsiębiorczości. W 6 gminach (Choceń, Chodecz, gm. wiejska Kowal, Lubień Kujawski, Lubraniec i gm. miejska Włocławek) na wskazane problemy nakładają się także procesy starzenia </w:t>
        <w:br/>
        <w:t>się społeczeństwa o ponadprzeciętnym natężeniu. Ponadto 5 gmin (Boniewo, Chodecz, Izbica Kujawska, Lubień Kujawski i Lubraniec) identyfikowanych jest jako obszar zagrożony trwałą marginalizacją na poziomie krajowym, a Włocławek zaliczony został do miast średnich tracących funkcje społeczno-gospodarcze (miasta stagnujące)</w:t>
      </w:r>
      <w:r>
        <w:rPr>
          <w:rStyle w:val="Znakiprzypiswdolnych"/>
        </w:rPr>
        <w:t xml:space="preserve"> </w:t>
      </w:r>
      <w:r>
        <w:rPr>
          <w:rStyle w:val="Zakotwiczenieprzypisudolnego"/>
        </w:rPr>
        <w:footnoteReference w:id="46"/>
      </w:r>
      <w:r>
        <w:rPr/>
        <w:t>.</w:t>
      </w:r>
    </w:p>
    <w:p>
      <w:pPr>
        <w:pStyle w:val="Normal"/>
        <w:rPr/>
      </w:pPr>
      <w:r>
        <w:rPr/>
      </w:r>
    </w:p>
    <w:p>
      <w:pPr>
        <w:pStyle w:val="Nagwek1"/>
        <w:numPr>
          <w:ilvl w:val="0"/>
          <w:numId w:val="45"/>
        </w:numPr>
        <w:rPr/>
      </w:pPr>
      <w:bookmarkStart w:id="124" w:name="_Hlk134096168"/>
      <w:bookmarkStart w:id="125" w:name="_Toc143161918"/>
      <w:r>
        <w:rPr/>
        <w:t>Wizja rozwoju obszaru – oczekiwany wynik realizacji działań planowanych w ramach Polityki Terytorialnej</w:t>
      </w:r>
      <w:bookmarkEnd w:id="124"/>
      <w:bookmarkEnd w:id="125"/>
    </w:p>
    <w:p>
      <w:pPr>
        <w:pStyle w:val="Normal"/>
        <w:spacing w:lineRule="auto" w:line="276"/>
        <w:jc w:val="both"/>
        <w:rPr/>
      </w:pPr>
      <w:r>
        <w:rPr/>
        <w:t xml:space="preserve">Realizacja projektów w ramach zaproponowanych celów strategicznych na terenie MOF Włocławka przyczyni się do podniesienia poziomu rozwoju społeczno-gospodarczego obszaru oraz wesprze proces zielonej transformacji i rozwoju gospodarki zeroemisyjnej. </w:t>
      </w:r>
    </w:p>
    <w:p>
      <w:pPr>
        <w:pStyle w:val="Normal"/>
        <w:spacing w:lineRule="auto" w:line="276"/>
        <w:jc w:val="both"/>
        <w:rPr/>
      </w:pPr>
      <w:r>
        <w:rPr/>
        <w:t xml:space="preserve">MOF Włocławka stanie się obszarem bardziej innowacyjnym i rozwiniętym gospodarczo, poprzez realizację szeregu działań na rzecz wsparcia przedsiębiorców i pozyskiwania nowych inwestorów </w:t>
        <w:br/>
        <w:t>dla rozwoju gospodarczego, przygotowania terenów inwestycyjnych i tworzenia nowych miejsc pracy dla mieszkańców całego obszaru. W wyniku podnoszenia jakości i dostosowania kształcenia zawodowego do potrzeb rynku pracy wzmocnione zostaną kompetencje zawodowe przyszłych pracowników.</w:t>
      </w:r>
    </w:p>
    <w:p>
      <w:pPr>
        <w:pStyle w:val="Normal"/>
        <w:spacing w:lineRule="auto" w:line="276"/>
        <w:jc w:val="both"/>
        <w:rPr/>
      </w:pPr>
      <w:r>
        <w:rPr/>
        <w:t xml:space="preserve">Zmniejszy się skala niekorzystnego oddziaływania człowieka na środowisko naturalne. Ograniczony zostanie negatywny wpływ człowieka na atmosferę, do czego przyczyni się poprawa funkcjonowania </w:t>
        <w:br/>
        <w:t xml:space="preserve">i rozwój niskoemisyjnego transportu publicznego na terenie miasta, połączony z rozbudową sieci dróg rowerowych umożliwiających ekologiczne przemieszczanie się na terenie obszaru. Realizacja dróg rowerowych i pieszo rowerowych wpłynie także na zwiększenie dostępności, gdyż umożliwi mieszkańcom obszaru bezpieczną i ekologiczną podróż rowerem w celu skorzystania z usług publicznych czy dotarcia do miejsc pracy. Na poprawę czystości powietrza wpłynie także realizacja działań z zakresu modernizacji źródeł ciepła oraz modernizacji energetycznej budynków mieszkalnych i użyteczności publicznej, jak również modernizacja oświetlenia ulicznego, dzięki czemu zwiększy </w:t>
        <w:br/>
        <w:t xml:space="preserve">się efektywność energetyczna i zmniejszy się emisja zanieczyszczeń do atmosfery. Poprawi się dostęp mieszkańców do dobrej jakości wody pitnej oraz ograniczone zostaną jej straty w wyniku modernizacji przestarzałych sieci wodociągowych. </w:t>
      </w:r>
    </w:p>
    <w:p>
      <w:pPr>
        <w:pStyle w:val="Normal"/>
        <w:spacing w:lineRule="auto" w:line="276"/>
        <w:jc w:val="both"/>
        <w:rPr/>
      </w:pPr>
      <w:r>
        <w:rPr/>
        <w:t>MOF Włocławka będzie cechował się większą odpornością na skutki negatywnych zmian klimatycznych. Proces adaptacji do zmian klimatu wsparty zostanie poprzez tworzenie nowych terenów zielonych i realizację nasadzeń.</w:t>
      </w:r>
    </w:p>
    <w:p>
      <w:pPr>
        <w:pStyle w:val="Normal"/>
        <w:spacing w:lineRule="auto" w:line="276"/>
        <w:jc w:val="both"/>
        <w:rPr/>
      </w:pPr>
      <w:r>
        <w:rPr/>
        <w:t xml:space="preserve">Na terenie MOF Włocławka nastąpi poprawa jakości życia mieszkańców poprzez wzrost jakości </w:t>
        <w:br/>
        <w:t xml:space="preserve">i zwiększenie dostępu do usług publicznych, zwłaszcza edukacyjnych, wychowania przedszkolnego, kulturalnych i ochrony zdrowia. W wyniku realizacji projektów edukacyjnych uczniowie obszaru będą lepiej wykształceni i uzyskają dodatkowe kompetencje kluczowe i umiejętności uniwersalne, zwłaszcza w zakresie kompetencji matematyczno-przyrodniczych, językowych, cyfrowych, a więc niezbędnych </w:t>
        <w:br/>
        <w:t xml:space="preserve">w przyszłym procesie nauki i pozyskiwania pracy. Wzrośnie atrakcyjność i dostęp do wychowania przedszkolnego poprzez zwiększenie liczby miejsc przedszkolnych i poszerzenie oferty zajęć. Proces kształcenia i wychowania przedszkolnego odbywać się będzie przy uwzględnieniu potrzeb uczniów </w:t>
        <w:br/>
        <w:t xml:space="preserve">i dzieci ze specjalnymi potrzebami edukacyjnymi i sprzyjać będzie zapewnieniu dostępu tym osobom do dobrej jakości kształcenia włączającego, poprzez dodatkowe wsparcie i łatwiejszy dostęp do zajęć. Sprzyjać to będzie włączeniu społecznemu i zapobiegnie alienacji wśród rówieśników. W procesie kształcenia i wychowania uczniowie i dzieci przedszkolne uzyskają lepsze wsparcie ze strony nauczycieli, którzy podniosą swoje kompetencje i kwalifikacje w wyniku uczestnictwa w stażach </w:t>
        <w:br/>
        <w:t>i szkoleniach. Zwiększy się uczestnictwo mieszkańców w życiu społeczno-kulturalnym obszaru</w:t>
        <w:br/>
        <w:t xml:space="preserve"> w wyniku podniesienia jakości i modernizacji obiektów kultury. Realizacja działań z zakresu ochrony zdrowia wpłynie na podniesienie jakości i zwiększenie dostępności do ambulatoryjnych zdrowotnych świadczeń specjalistycznych, co jest szczególnie istotne w kontekście starzejącego się społeczeństwa.</w:t>
      </w:r>
    </w:p>
    <w:p>
      <w:pPr>
        <w:pStyle w:val="Normal"/>
        <w:spacing w:lineRule="auto" w:line="276"/>
        <w:jc w:val="both"/>
        <w:rPr/>
      </w:pPr>
      <w:r>
        <w:rPr/>
        <w:t>Przestrzeń stanie się bardziej atrakcyjna i dostępna dla mieszkańców obszaru oraz turystów.  Odnowione zostaną zaniedbane lub zniszczone przestrzenie publiczne, które służyć będą społecznościom lokalnym, umożliwiając bezpieczne spędzanie wolnego czasu, wzmacniając integrację i kontakty międzyludzkie. W wyniku realizacji infrastruktury turystycznej i rekreacyjnej wzmocniony zostanie potencjał turystyczny obszaru.</w:t>
      </w:r>
    </w:p>
    <w:p>
      <w:pPr>
        <w:pStyle w:val="Normal"/>
        <w:spacing w:lineRule="auto" w:line="276"/>
        <w:jc w:val="both"/>
        <w:rPr/>
      </w:pPr>
      <w:r>
        <w:rPr/>
        <w:t>W celu wzmocnienia rozwoju MOF Włocławka, oprócz działań realizowanych w ramach polityki terytorialnej, na obszarze planuje się także realizację działań uzupełniających w ramach instrumentu RLKS, realizację działań rewitalizacyjnych prowadzonych we Włocławku na podstawie GPR</w:t>
        <w:br/>
        <w:t xml:space="preserve"> oraz realizację projektów finansowanych ze środków krajowych.</w:t>
      </w:r>
    </w:p>
    <w:p>
      <w:pPr>
        <w:pStyle w:val="Nagwek1"/>
        <w:numPr>
          <w:ilvl w:val="0"/>
          <w:numId w:val="0"/>
        </w:numPr>
        <w:ind w:left="0" w:hanging="0"/>
        <w:rPr/>
      </w:pPr>
      <w:r>
        <w:rPr/>
      </w:r>
      <w:bookmarkStart w:id="126" w:name="_Hlk134096179"/>
      <w:bookmarkStart w:id="127" w:name="_Hlk134096179"/>
    </w:p>
    <w:p>
      <w:pPr>
        <w:pStyle w:val="Nagwek1"/>
        <w:numPr>
          <w:ilvl w:val="0"/>
          <w:numId w:val="46"/>
        </w:numPr>
        <w:rPr/>
      </w:pPr>
      <w:bookmarkStart w:id="128" w:name="_Hlk134096179"/>
      <w:bookmarkStart w:id="129" w:name="_Toc143161919"/>
      <w:r>
        <w:rPr/>
        <w:t>Opis wsparcia obszarów charakteryzujących się trudną sytuacją społeczno-gospodarczą</w:t>
      </w:r>
      <w:bookmarkEnd w:id="128"/>
      <w:bookmarkEnd w:id="129"/>
    </w:p>
    <w:p>
      <w:pPr>
        <w:pStyle w:val="Normal"/>
        <w:spacing w:lineRule="auto" w:line="276"/>
        <w:jc w:val="both"/>
        <w:rPr/>
      </w:pPr>
      <w:r>
        <w:rPr/>
        <w:t xml:space="preserve">Celem realizacji założeń Polityki Terytorialnej Województwa Kujawsko-Pomorskiego jest zrównoważony rozwój całego województwa, ze szczególnym uwzględnieniem tzw. obszarów problemowych (miast średnich tracących funkcje społeczno-gospodarcze, gmin zagrożonych trwałą marginalizacją, gmin wykazujących negatywną sytuację społeczno-gospodarczą), którym przyznano dodatkowe wsparcie finansowe przeznaczone na realizację działań służących poprawie zdiagnozowanej sytuacji problemowej. </w:t>
      </w:r>
    </w:p>
    <w:p>
      <w:pPr>
        <w:pStyle w:val="Normal"/>
        <w:rPr/>
      </w:pPr>
      <w:r>
        <w:rPr/>
        <w:t>Na terenie MOF Włocławka do tzw. obszarów problemowych zaliczono:</w:t>
      </w:r>
    </w:p>
    <w:p>
      <w:pPr>
        <w:pStyle w:val="Normal"/>
        <w:spacing w:lineRule="auto" w:line="276"/>
        <w:jc w:val="both"/>
        <w:rPr/>
      </w:pPr>
      <w:r>
        <w:rPr/>
        <w:t>- </w:t>
      </w:r>
      <w:r>
        <w:rPr>
          <w:b/>
          <w:bCs/>
        </w:rPr>
        <w:t>miasto Włocławek</w:t>
      </w:r>
      <w:r>
        <w:rPr/>
        <w:t xml:space="preserve"> (</w:t>
      </w:r>
      <w:r>
        <w:rPr>
          <w:i/>
          <w:iCs/>
        </w:rPr>
        <w:t>wskazane z poziomu krajowego jako miasto średnie tracące funkcje społeczno-gospodarcze - miasto stagnujące, a z poziomu regionalnego zaliczone do gmin charakteryzujących</w:t>
        <w:br/>
        <w:t xml:space="preserve"> się niskim poziomem rozwoju społecznego</w:t>
      </w:r>
      <w:r>
        <w:rPr/>
        <w:t xml:space="preserve">), dla którego w celu niwelowania występujących na terenie miasta problemów społeczno-gospodarczych planuje się realizację działań mających na celu wsparcie rozwoju przedsiębiorczości, poprzez rozwój Włocławskiego Centrum Biznesu, a więc Instytucji Otoczenia Biznesu odpowiedzialnej za wsparcie i rozwój przedsiębiorczości na terenie miasta </w:t>
        <w:br/>
        <w:t xml:space="preserve">oraz wdrożenie dodatkowych proinnowacyjnych usług, jak również planowane są działania mające na celu poprawę jakości i dostosowanie kształcenia w szkołach zawodowych do potrzeb rynku pracy, </w:t>
        <w:br/>
        <w:t>co wpłynie na podniesienie kwalifikacji przyszłych pracowników. Prowadzone będą działania podnoszące jakość kształcenia ogólnego, ze szczególnym zwróceniem uwagi na rozwój kompetencji kluczowych u uczniów. działania w zakresie edukacji, oprócz nabycia lepszych kwalifikacji zawodowych przyczynią się do wzrostu kompetencji miękkich i aktywności uczniów, co w przyszłości zwiększy możliwości podjęcia pracy, redukując tym samym zjawisko bezrobocia. Istotnym czynnikiem rozwoju będą prowadzone na terenie miasta działania rewitalizacyjne, które wpłyną na zwiększenie estetyki</w:t>
        <w:br/>
        <w:t xml:space="preserve"> i poprawę funkcjonalności przestrzeni miejskiej. Na terenie miasta planowane jest również wzmocnienie świadczonych usług zdrowotnych, co wpłynie na dostępność mieszkańców miasta </w:t>
        <w:br/>
        <w:t xml:space="preserve">i pozostałych gmin obszaru do lepszej jakości ambulatoryjnej opieki specjalistycznej. Podjęte działania przyczynią się do wzrostu przedsiębiorczości i podniesienia jakości świadczonych usług publicznych, zwłaszcza w aspektach istotnych dla młodych rodzin z dziećmi, co przyczyni się do wzrostu atrakcyjności miasta jako miejsca przyjaznego do zamieszkania i pracy, co jest szczególnie istotne </w:t>
        <w:br/>
        <w:t>w aspekcie niekorzystnych procesów demograficznych;</w:t>
      </w:r>
    </w:p>
    <w:p>
      <w:pPr>
        <w:pStyle w:val="Normal"/>
        <w:spacing w:lineRule="auto" w:line="276"/>
        <w:jc w:val="both"/>
        <w:rPr/>
      </w:pPr>
      <w:r>
        <w:rPr/>
        <w:t>- </w:t>
      </w:r>
      <w:r>
        <w:rPr>
          <w:b/>
          <w:bCs/>
        </w:rPr>
        <w:t>gminy: Boniewo, Chodecz, Lubień Kujawski, Lubraniec, Baruchowo, Choceń, Lubanie</w:t>
      </w:r>
      <w:r>
        <w:rPr/>
        <w:t xml:space="preserve"> (</w:t>
      </w:r>
      <w:r>
        <w:rPr>
          <w:i/>
          <w:iCs/>
        </w:rPr>
        <w:t>wskazane</w:t>
        <w:br/>
        <w:t xml:space="preserve"> z poziomu regionalnego jako problemowe pod względem niskiego poziomu rozwoju społecznego</w:t>
        <w:br/>
        <w:t xml:space="preserve"> i niskiego poziomu przedsiębiorczości, a dodatkowo pierwsze cztery wymienione gminy zaliczone</w:t>
        <w:br/>
        <w:t xml:space="preserve"> na poziomie krajowym do gmin zmarginalizowanych</w:t>
      </w:r>
      <w:r>
        <w:rPr/>
        <w:t xml:space="preserve">), dla których w celu niwelowania występujących na ich terenie problemów społeczno-gospodarczych planuje się realizację działań mających na celu wsparcie infrastruktury biznesowej oraz rozwój terenów inwestycyjnych w celu wzmacniania rozwoju przedsiębiorczości. Do rozwoju przedsiębiorczości przyczyni się też rozwój infrastruktury turystycznej. Wsparciu procesu podniesienia poziomu rozwoju społecznego mieszkańców służyć będą projekty mające na celu podniesienie jakości kształcenia ogólnego, co sprzyjać będzie nabywaniu przez uczniów kompetencji kluczowych, wyrównywaniu szans rozwojowych i wzrostowi ich aktywności. Projekty mające na celu zwiększenie dostępu do dobrej jakości wychowania przedszkolnego wpłyną zarówno na możliwości podjęcia pracy przez opiekunów dzieci, jak i na wzrost kompetencji miękkich u dzieci, aktywności i zainteresowania nauką, umożliwiając jednocześnie włączenie społeczne i integrację </w:t>
        <w:br/>
        <w:t xml:space="preserve">z rówieśnikami dzieci z rodzin defaworyzowanych. Dzięki działaniom wspierającym rozwój kultury </w:t>
        <w:br/>
        <w:t>oraz odnowę przestrzeni publicznych mieszkańcy gmin notujących sytuację problemową zyskają przestrzeń do realizacji działań o charakterze kulturalno-rozrywkowym oraz działań włączających</w:t>
        <w:br/>
        <w:t xml:space="preserve"> i możliwość integracji społecznej i międzypokoleniowej, umożliwiającej tym samym włączenie społeczne osób wymagających wsparcia.      </w:t>
      </w:r>
    </w:p>
    <w:p>
      <w:pPr>
        <w:pStyle w:val="Normal"/>
        <w:spacing w:lineRule="auto" w:line="276"/>
        <w:jc w:val="both"/>
        <w:rPr/>
      </w:pPr>
      <w:r>
        <w:rPr/>
        <w:t>- </w:t>
      </w:r>
      <w:r>
        <w:rPr>
          <w:b/>
          <w:bCs/>
        </w:rPr>
        <w:t>gmina Izbica Kujawska</w:t>
      </w:r>
      <w:r>
        <w:rPr/>
        <w:t xml:space="preserve"> (</w:t>
      </w:r>
      <w:r>
        <w:rPr>
          <w:i/>
          <w:iCs/>
        </w:rPr>
        <w:t xml:space="preserve">zaliczona na poziomie krajowym do gmin zmarginalizowanych i wskazana </w:t>
        <w:br/>
        <w:t>z poziomu regionalnego jako problemowa pod względem niskiego poziomu rozwoju społecznego</w:t>
      </w:r>
      <w:r>
        <w:rPr/>
        <w:t xml:space="preserve">), </w:t>
        <w:br/>
        <w:t xml:space="preserve">dla której w celu niwelowania występujących na jej terenie problemów planuje się realizację działań mających na celu przede wszystkim wsparcie aktywności społecznej i aktywizacji zawodowej  mieszkańców, poprzez zwiększenie dostępu do dobrej jakości wychowania przedszkolnego umożliwiającego zarówno podjęcie pracy przez opiekunów dzieci, jak i mające wpływ na wzrost kompetencji miękkich u dzieci, aktywności i zainteresowania nauką, umożliwiając jednocześnie włączenie społeczne i integrację z rówieśnikami dzieci z rodzin defaworyzowanych. Działania mające na celu odnowę przestrzeni publicznych i rozwój obiektów kultury zapewnią mieszkańcom wszystkich grup wiekowych i społecznych dostęp do zajęć kulturalno-rozrywkowych, integrując społeczność lokalną, a wzrostowi jakości życia mieszkańców sprzyjać będą także działania wpływające </w:t>
        <w:br/>
        <w:t xml:space="preserve">na podniesienie poziomu zdrowia, poprzez rozwój specjalistycznego lecznictwa ambulatoryjnego. </w:t>
        <w:br/>
        <w:t xml:space="preserve">Na terenie gminy planuje się także działania służące zwiększeniu potencjału turystycznego. </w:t>
      </w:r>
    </w:p>
    <w:p>
      <w:pPr>
        <w:pStyle w:val="Normal"/>
        <w:spacing w:lineRule="auto" w:line="276"/>
        <w:jc w:val="both"/>
        <w:rPr/>
      </w:pPr>
      <w:r>
        <w:rPr/>
        <w:t>- </w:t>
      </w:r>
      <w:r>
        <w:rPr>
          <w:b/>
          <w:bCs/>
        </w:rPr>
        <w:t>gmina wiejska Kowal</w:t>
      </w:r>
      <w:r>
        <w:rPr/>
        <w:t xml:space="preserve"> (</w:t>
      </w:r>
      <w:r>
        <w:rPr>
          <w:i/>
          <w:iCs/>
        </w:rPr>
        <w:t>wskazana z poziomu regionalnego jako problemowa pod względem niskiego poziomu rozwoju przedsiębiorczości</w:t>
      </w:r>
      <w:r>
        <w:rPr/>
        <w:t xml:space="preserve">), dla której w celu niwelowania występujących na jej terenie problemów planuje się realizację działań mających na celu </w:t>
      </w:r>
      <w:r>
        <w:rPr>
          <w:rFonts w:cs="Calibri" w:cstheme="minorHAnsi"/>
        </w:rPr>
        <w:t>poprawę jakości świadczenia usług edukacyjnych, co wpłynie istotnie na wzrost kompetencji kluczowych u uczniów, w tym kompetencji językowych, a realizowane zajęcia rozwijające uzdolnienia przyczynią się do wzrostu aktywności społecznej uczniów i chęć ich rozwoju osobistego, co przyczyni się do wzrostu poziomu ich aktywizacji społecznej i zawodowej w przyszłości.</w:t>
      </w:r>
    </w:p>
    <w:p>
      <w:pPr>
        <w:pStyle w:val="Normal"/>
        <w:rPr/>
      </w:pPr>
      <w:r>
        <w:rPr/>
      </w:r>
    </w:p>
    <w:p>
      <w:pPr>
        <w:pStyle w:val="Nagwek1"/>
        <w:numPr>
          <w:ilvl w:val="0"/>
          <w:numId w:val="47"/>
        </w:numPr>
        <w:rPr/>
      </w:pPr>
      <w:bookmarkStart w:id="130" w:name="_Toc143161920"/>
      <w:r>
        <w:rPr/>
        <w:t xml:space="preserve">Cele rozwojowe obszaru realizowane poprzez wsparcie  </w:t>
        <w:br/>
        <w:t>w ramach Polityki Terytorialnej Województwa Kujawsko-Pomorskiego</w:t>
      </w:r>
      <w:bookmarkEnd w:id="130"/>
      <w:r>
        <w:rPr/>
        <w:t xml:space="preserve"> </w:t>
      </w:r>
    </w:p>
    <w:p>
      <w:pPr>
        <w:pStyle w:val="Normal"/>
        <w:spacing w:lineRule="auto" w:line="240"/>
        <w:rPr>
          <w:color w:val="00B050"/>
        </w:rPr>
      </w:pPr>
      <w:r>
        <w:rPr/>
        <w:drawing>
          <wp:inline distT="0" distB="0" distL="0" distR="0">
            <wp:extent cx="5753100" cy="3848100"/>
            <wp:effectExtent l="0" t="0" r="0" b="0"/>
            <wp:docPr id="43" name="Obraz7" descr="drzewo ustaleń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7" descr="drzewo ustaleń_V3"/>
                    <pic:cNvPicPr>
                      <a:picLocks noChangeAspect="1" noChangeArrowheads="1"/>
                    </pic:cNvPicPr>
                  </pic:nvPicPr>
                  <pic:blipFill>
                    <a:blip r:embed="rId26"/>
                    <a:stretch>
                      <a:fillRect/>
                    </a:stretch>
                  </pic:blipFill>
                  <pic:spPr bwMode="auto">
                    <a:xfrm>
                      <a:off x="0" y="0"/>
                      <a:ext cx="5753100" cy="3848100"/>
                    </a:xfrm>
                    <a:prstGeom prst="rect">
                      <a:avLst/>
                    </a:prstGeom>
                  </pic:spPr>
                </pic:pic>
              </a:graphicData>
            </a:graphic>
          </wp:inline>
        </w:drawing>
      </w:r>
    </w:p>
    <w:p>
      <w:pPr>
        <w:pStyle w:val="RdoTABEL"/>
        <w:rPr/>
      </w:pPr>
      <w:r>
        <w:rPr/>
        <w:t xml:space="preserve">Ryc. </w:t>
      </w:r>
      <w:bookmarkStart w:id="131" w:name="_Hlk136333254"/>
      <w:r>
        <w:rPr/>
        <w:t>Schemat struktury celów oraz realizujących je projektów (tzw. drzewo ustaleń)</w:t>
      </w:r>
      <w:bookmarkEnd w:id="131"/>
    </w:p>
    <w:p>
      <w:pPr>
        <w:pStyle w:val="RdoTABEL"/>
        <w:rPr/>
      </w:pPr>
      <w:r>
        <w:rPr/>
      </w:r>
    </w:p>
    <w:p>
      <w:pPr>
        <w:pStyle w:val="2poziom"/>
        <w:numPr>
          <w:ilvl w:val="1"/>
          <w:numId w:val="5"/>
        </w:numPr>
        <w:tabs>
          <w:tab w:val="clear" w:pos="680"/>
          <w:tab w:val="left" w:pos="851" w:leader="none"/>
        </w:tabs>
        <w:ind w:left="632" w:hanging="349"/>
        <w:rPr/>
      </w:pPr>
      <w:bookmarkStart w:id="132" w:name="_Hlk134169538"/>
      <w:bookmarkStart w:id="133" w:name="_Toc143161921"/>
      <w:r>
        <w:rPr/>
        <w:t>Opis realizacji celów</w:t>
      </w:r>
      <w:bookmarkEnd w:id="133"/>
    </w:p>
    <w:p>
      <w:pPr>
        <w:pStyle w:val="Normal"/>
        <w:spacing w:lineRule="auto" w:line="276"/>
        <w:jc w:val="both"/>
        <w:rPr>
          <w:rFonts w:cs="Calibri" w:cstheme="minorHAnsi"/>
          <w:b/>
          <w:bCs/>
        </w:rPr>
      </w:pPr>
      <w:r>
        <w:rPr>
          <w:rFonts w:cs="Calibri" w:cstheme="minorHAnsi"/>
          <w:b/>
          <w:bCs/>
        </w:rPr>
        <w:t>Cel główny: Podniesienie poziomu rozwoju społeczno-gospodarczego oraz wsparcie procesu zielonej transformacji i gospodarki zeroemisyjnej</w:t>
      </w:r>
    </w:p>
    <w:p>
      <w:pPr>
        <w:pStyle w:val="Normal"/>
        <w:spacing w:lineRule="auto" w:line="276"/>
        <w:jc w:val="both"/>
        <w:rPr>
          <w:rFonts w:cs="Calibri" w:cstheme="minorHAnsi"/>
        </w:rPr>
      </w:pPr>
      <w:r>
        <w:rPr>
          <w:rFonts w:cs="Calibri" w:cstheme="minorHAnsi"/>
        </w:rPr>
        <w:t xml:space="preserve">Głównym celem realizacji strategii służącej wsparciu rozwoju w ramach polityki terytorialnej województwa kujawsko-pomorskiego jest „Podniesienie poziomu rozwoju społeczno-gospodarczego oraz wsparcie procesu zielonej transformacji i gospodarki zeroemisyjnej”. Cel główny swoim zakresem obejmuje wszystkie zagadnienia mieszczące się w ramach celów szczegółowych i określa (stanowi swego rodzaju deklarację), dotyczącą wizji rozwoju obszaru, do której będzie się dążyć poprzez realizację zaplanowanej interwencji w ramach polityki terytorialnej województwa. Cel ten zdefiniowano na podstawie zidentyfikowanych problemów i potrzeb rozwojowych występujących </w:t>
        <w:br/>
        <w:t xml:space="preserve">na obszarze realizacji Strategii, a jego wypełnienie związane będzie przede wszystkim z rozwojem innowacyjności i konkurencyjności gospodarki, w tym rozwój rynku pracy, kształtowaniem stanu środowiska przyrodniczego, poprawą szeroko rozumianego rozwoju społecznego, zwłaszcza </w:t>
        <w:br/>
        <w:t xml:space="preserve">w aspekcie rozwoju i dostępności do usług z zakresu edukacji, zdrowia, kultury i sportu </w:t>
        <w:br/>
        <w:t>oraz kształtowaniem warunków i przestrzeni dla wysokiej jakości życia.</w:t>
      </w:r>
    </w:p>
    <w:p>
      <w:pPr>
        <w:pStyle w:val="Normal"/>
        <w:spacing w:lineRule="auto" w:line="276"/>
        <w:jc w:val="both"/>
        <w:rPr>
          <w:rFonts w:cs="Calibri" w:cstheme="minorHAnsi"/>
        </w:rPr>
      </w:pPr>
      <w:r>
        <w:rPr>
          <w:rFonts w:cs="Calibri" w:cstheme="minorHAnsi"/>
          <w:b/>
          <w:bCs/>
        </w:rPr>
        <w:t>Cele szczegółowe:</w:t>
      </w:r>
    </w:p>
    <w:p>
      <w:pPr>
        <w:pStyle w:val="ListParagraph"/>
        <w:numPr>
          <w:ilvl w:val="0"/>
          <w:numId w:val="12"/>
        </w:numPr>
        <w:spacing w:lineRule="auto" w:line="259" w:before="0" w:after="160"/>
        <w:contextualSpacing/>
        <w:jc w:val="left"/>
        <w:rPr>
          <w:rFonts w:cs="Calibri" w:cstheme="minorHAnsi"/>
          <w:b/>
          <w:bCs/>
        </w:rPr>
      </w:pPr>
      <w:r>
        <w:rPr>
          <w:rFonts w:cs="Calibri" w:cstheme="minorHAnsi"/>
          <w:b/>
          <w:bCs/>
        </w:rPr>
        <w:t>Cel szczegółowy: Gospodarka i wykształcone kadry</w:t>
      </w:r>
    </w:p>
    <w:p>
      <w:pPr>
        <w:pStyle w:val="Default"/>
        <w:spacing w:lineRule="auto" w:line="276"/>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Cel szczegółowy „Gospodarka i wykształcone kadry” obejmuje projekty związane z podniesieniem poziomu innowacyjności i konkurencyjności gospodarczej tj. projekty związane ze wsparciem infrastruktury biznesowej, w tym powstawanie i rozwój inkubatorów przedsiębiorczości oraz rozwój ośrodków wspierających przedsiębiorczość, a także projekty związane z podniesieniem atrakcyjności gospodarczej obszaru tj. projekty związane z uzbrojeniem terenu oraz projekty realizowane w zakresie poprawy infrastruktury i jakości kształcenia zawodowego. </w:t>
      </w:r>
    </w:p>
    <w:p>
      <w:pPr>
        <w:pStyle w:val="Default"/>
        <w:spacing w:lineRule="auto" w:line="259"/>
        <w:jc w:val="both"/>
        <w:rPr>
          <w:rFonts w:ascii="Calibri" w:hAnsi="Calibri" w:cs="Calibri" w:asciiTheme="minorHAnsi" w:cstheme="minorHAnsi" w:hAnsiTheme="minorHAnsi"/>
          <w:sz w:val="22"/>
          <w:szCs w:val="22"/>
          <w:highlight w:val="cyan"/>
        </w:rPr>
      </w:pPr>
      <w:r>
        <w:rPr>
          <w:rFonts w:cs="Calibri" w:cstheme="minorHAnsi" w:ascii="Calibri" w:hAnsi="Calibri"/>
          <w:sz w:val="22"/>
          <w:szCs w:val="22"/>
          <w:highlight w:val="cyan"/>
        </w:rPr>
      </w:r>
    </w:p>
    <w:p>
      <w:pPr>
        <w:pStyle w:val="Default"/>
        <w:spacing w:lineRule="auto" w:line="276"/>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W celu podniesienia poziomu innowacyjności i konkurencyjności gospodarczej realizowane będą</w:t>
        <w:br/>
        <w:t xml:space="preserve"> m.in. zadania związane z rozwojem centrów i usług doradczych, tworzeniem dogodnych warunków </w:t>
        <w:br/>
        <w:t xml:space="preserve">do prowadzenia działalności gospodarczej oraz działania wspierające internacjonalizację i rozwój gospodarki. Ważnym aspektem będzie także rozwój sieci współpracy klastrów oraz działania inwestycyjne i doradcze IOB. W ramach wzrostu atrakcyjności gospodarczej realizowane będą działania mające na celu przyciąganie inwestorów i zachęcenie ich do prowadzenia działalności gospodarczej </w:t>
        <w:br/>
        <w:t xml:space="preserve">na terenach lokalnych. Działania te obejmują wsparcie polegające na uzbrojeniu terenów inwestycyjnych. Ważnym elementem wzrostu gospodarczego jest także dostępność wysoko wykwalifikowanych kadr. </w:t>
      </w:r>
      <w:bookmarkStart w:id="134" w:name="_Hlk134438578"/>
      <w:r>
        <w:rPr>
          <w:rFonts w:cs="Calibri" w:ascii="Calibri" w:hAnsi="Calibri" w:asciiTheme="minorHAnsi" w:cstheme="minorHAnsi" w:hAnsiTheme="minorHAnsi"/>
          <w:sz w:val="22"/>
          <w:szCs w:val="22"/>
        </w:rPr>
        <w:t xml:space="preserve">W ramach celu realizowane będą projekty ukierunkowane na poprawę jakości, efektywności i skuteczności kształcenia zawodowego oraz działania wpływające </w:t>
        <w:br/>
        <w:t xml:space="preserve">na dostosowanie tego rodzaju kształcenia do potrzeb rynku pracy. Cel „Gospodarka i wykształcone kadry” obejmuje także projekty wpływające na dostosowanie kształcenia zawodowego do wymogów zielonej i cyfrowej transformacji oraz projekty związane z promowaniem tego rodzaju kształcenia jako wysokiej jakości ścieżki kariery wymagającej wysokich kwalifikacji. Ponadto w celu poprawy jakości oraz dostosowania kształcenia zawodowego do potrzeb rynku pracy realizowane będą inwestycje </w:t>
        <w:br/>
        <w:t>w infrastrukturę edukacyjną i szkoleniową szkół oraz centrów i placówek prowadzących kształcenie zawodowe.</w:t>
      </w:r>
      <w:bookmarkEnd w:id="134"/>
    </w:p>
    <w:p>
      <w:pPr>
        <w:pStyle w:val="Default"/>
        <w:spacing w:lineRule="auto" w:line="259"/>
        <w:jc w:val="both"/>
        <w:rPr>
          <w:rFonts w:ascii="Calibri" w:hAnsi="Calibri" w:cs="Calibri" w:asciiTheme="minorHAnsi" w:cstheme="minorHAnsi" w:hAnsiTheme="minorHAnsi"/>
          <w:sz w:val="22"/>
          <w:szCs w:val="22"/>
          <w:highlight w:val="cyan"/>
        </w:rPr>
      </w:pPr>
      <w:r>
        <w:rPr>
          <w:rFonts w:cs="Calibri" w:cstheme="minorHAnsi" w:ascii="Calibri" w:hAnsi="Calibri"/>
          <w:sz w:val="22"/>
          <w:szCs w:val="22"/>
          <w:highlight w:val="cyan"/>
        </w:rPr>
      </w:r>
    </w:p>
    <w:p>
      <w:pPr>
        <w:pStyle w:val="ListParagraph"/>
        <w:numPr>
          <w:ilvl w:val="0"/>
          <w:numId w:val="12"/>
        </w:numPr>
        <w:spacing w:lineRule="auto" w:line="259" w:before="0" w:after="160"/>
        <w:contextualSpacing/>
        <w:rPr>
          <w:rFonts w:cs="Calibri" w:cstheme="minorHAnsi"/>
          <w:b/>
          <w:bCs/>
        </w:rPr>
      </w:pPr>
      <w:r>
        <w:rPr>
          <w:rFonts w:cs="Calibri" w:cstheme="minorHAnsi"/>
          <w:b/>
          <w:bCs/>
        </w:rPr>
        <w:t xml:space="preserve"> </w:t>
      </w:r>
      <w:r>
        <w:rPr>
          <w:rFonts w:cs="Calibri" w:cstheme="minorHAnsi"/>
          <w:b/>
          <w:bCs/>
        </w:rPr>
        <w:t>Cel szczegółowy: Zielona transformacja i gospodarka niskoemisyjna</w:t>
      </w:r>
    </w:p>
    <w:p>
      <w:pPr>
        <w:pStyle w:val="Default"/>
        <w:spacing w:lineRule="auto" w:line="276"/>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Cel szczegółowy „Zielona transformacja i gospodarka niskoemisyjna” związany jest z poprawą stanu środowiska przyrodniczego tj. obejmuje projekty dotyczące poprawy efektywności energetycznej, redukcji emisji zanieczyszczeń do powietrza, przystosowania do zmian klimatu, zapobiegania ryzyku związanemu z klęskami żywiołowymi i katastrofami, zrównoważonej gospodarki wodnej </w:t>
        <w:br/>
        <w:t>oraz gospodarki zeroemisyjnej.</w:t>
      </w:r>
    </w:p>
    <w:p>
      <w:pPr>
        <w:pStyle w:val="Default"/>
        <w:spacing w:lineRule="auto" w:line="276"/>
        <w:jc w:val="both"/>
        <w:rPr>
          <w:rFonts w:ascii="Calibri" w:hAnsi="Calibri" w:cs="Calibri" w:asciiTheme="minorHAnsi" w:cstheme="minorHAnsi" w:hAnsiTheme="minorHAnsi"/>
          <w:sz w:val="22"/>
          <w:szCs w:val="22"/>
          <w:highlight w:val="cyan"/>
        </w:rPr>
      </w:pPr>
      <w:r>
        <w:rPr>
          <w:rFonts w:cs="Calibri" w:cstheme="minorHAnsi" w:ascii="Calibri" w:hAnsi="Calibri"/>
          <w:sz w:val="22"/>
          <w:szCs w:val="22"/>
          <w:highlight w:val="cyan"/>
        </w:rPr>
      </w:r>
    </w:p>
    <w:p>
      <w:pPr>
        <w:pStyle w:val="Normal"/>
        <w:spacing w:lineRule="auto" w:line="276"/>
        <w:jc w:val="both"/>
        <w:rPr>
          <w:rFonts w:cs="Calibri" w:cstheme="minorHAnsi"/>
        </w:rPr>
      </w:pPr>
      <w:r>
        <w:rPr>
          <w:rFonts w:cs="Calibri" w:cstheme="minorHAnsi"/>
        </w:rPr>
        <w:t xml:space="preserve">Do najważniejszych wyzwań związanych z poprawą stanu środowiska przyrodniczego należą kwestie poprawy jakości powietrza i gospodarki wodnej. Cel „Zielona transformacja i gospodarka niskoemisyjna” zawiera szereg wielokierunkowych działań, które wpłyną na poprawę obecnego systemu energetycznego oraz efektywne wykorzystanie istniejących zasobów wodnych. </w:t>
        <w:br/>
        <w:t xml:space="preserve">I tak, kompleksowa modernizacja energetyczna, rozwój efektywnych energetycznie systemów ciepłowniczych opartych na źródłach OZE, budowa energooszczędnego oświetlenia ulicznego opartego na technologii LED doprowadzą do redukcji zużycia energii cieplnej i elektrycznej, a tym samym znacząco wpłyną na redukcję zanieczyszczeń powietrza. Obok projektów energetycznych poprawie stanu powietrza będą służyć także działania z zakresu rozwoju i usprawnienia nisko- i zeroemisyjnego transportu publicznego m.in. zakup „czystego” taboru wraz z niezbędną infrastrukturą, działania związane z ułatwieniem podróży multimodalnych („park&amp;ride”, „bike&amp;ride”) czy nawet działania </w:t>
        <w:br/>
        <w:t xml:space="preserve">w infrastrukturę rowerową przyczyniające się do priorytetyzacji ruchu pieszego i rowerowego, </w:t>
        <w:br/>
        <w:t xml:space="preserve">tym samym zmniejszające ilość emitowanych zanieczyszczeń do powietrza. Wsparcie zielonej </w:t>
        <w:br/>
        <w:t xml:space="preserve">i niebieskiej infrastruktury, nasadzenia i zazielenienia w miastach przyczynią się do zwiększenia terenów zielonych, a tym samym realizując zadania małej retencji pozwolą na skuteczne i efektywne gospodarowanie wodami opadowymi przez co pozytywnie wpłyną na zaadoptowanie miast do zmian klimatu. Natomiast projekty w zakresie efektywnych (inteligentnych) sieci wodociągowych, odpowiadające </w:t>
        <w:br/>
        <w:t>na problem malejących zasobów wodnych, ukierunkowane zostaną na ograniczenie strat wody oraz efektywne wykorzystanie istniejących zasobów wodnych.</w:t>
      </w:r>
    </w:p>
    <w:p>
      <w:pPr>
        <w:pStyle w:val="ListParagraph"/>
        <w:numPr>
          <w:ilvl w:val="0"/>
          <w:numId w:val="12"/>
        </w:numPr>
        <w:spacing w:lineRule="auto" w:line="259" w:before="0" w:after="160"/>
        <w:contextualSpacing/>
        <w:jc w:val="left"/>
        <w:rPr>
          <w:rFonts w:cs="Calibri" w:cstheme="minorHAnsi"/>
          <w:b/>
          <w:bCs/>
        </w:rPr>
      </w:pPr>
      <w:r>
        <w:rPr>
          <w:rFonts w:cs="Calibri" w:cstheme="minorHAnsi"/>
          <w:b/>
          <w:bCs/>
        </w:rPr>
        <w:t>Cel szczegółowy: Wysoka jakość życia społeczeństwa</w:t>
      </w:r>
    </w:p>
    <w:p>
      <w:pPr>
        <w:pStyle w:val="Normal"/>
        <w:spacing w:lineRule="auto" w:line="276"/>
        <w:jc w:val="both"/>
        <w:rPr>
          <w:rFonts w:cs="Calibri" w:cstheme="minorHAnsi"/>
        </w:rPr>
      </w:pPr>
      <w:r>
        <w:rPr>
          <w:rFonts w:cs="Calibri" w:cstheme="minorHAnsi"/>
        </w:rPr>
        <w:t>Cel szczegółowy „Wysoka jakość życia społeczeństwa” obejmuje projekty związane z poprawą dostępu do wysokiej jakości usług sprzyjających włączeniu społecznemu (m.in. przedszkola), podniesieniem jakości kształcenia ogólnego, ochroną zdrowia oraz wsparciem instytucji kultury.</w:t>
      </w:r>
    </w:p>
    <w:p>
      <w:pPr>
        <w:pStyle w:val="Normal"/>
        <w:spacing w:lineRule="auto" w:line="276"/>
        <w:jc w:val="both"/>
        <w:rPr>
          <w:rFonts w:cs="Calibri" w:cstheme="minorHAnsi"/>
        </w:rPr>
      </w:pPr>
      <w:r>
        <w:rPr>
          <w:rFonts w:cs="Calibri" w:cstheme="minorHAnsi"/>
        </w:rPr>
        <w:t xml:space="preserve">Zwiększenie dostępu do wysokiej jakości infrastruktury i usług społecznych skorelowane </w:t>
        <w:br/>
        <w:t xml:space="preserve">jest z kompleksową poprawą warunków kształcenia przedszkolnego tj. tworzeniem nowych miejsc wychowania przedszkolnego, a także działaniami wpływającymi na poprawę oferty i jakości świadczonych usług edukacyjnych. Wysoka jakość życia społecznego to także projekty w zakresie poprawy jakości i efektywności kształcenia ogólnego. Działania te przyczynić się mają przede wszystkim do wyrównywania szans edukacyjnych wewnątrz- i międzyregionalnych. Projekty realizowane </w:t>
        <w:br/>
        <w:t>dla uczniów obejmować będą m.in. podnoszenie kompetencji kluczowych (w tym cyfrowych), społecznych, społeczno-emocjonalnych, podstawowych, przekrojowych lub związanych z zieloną lub cyfrową transformacją. Nie zabraknie również działań w zakresie doradztwa edukacyjno-zawodowego czy edukacji włączającej. Wsparcie dla przedstawicieli kadry będzie dotyczyć m.in. podnoszenia kompetencji lub nabywania kwalifikacji związanych z danym zawodem, podnoszenia kompetencji kluczowych (w tym cyfrowych), społeczno-emocjonalnych, przekrojowych lub związanych z zieloną</w:t>
        <w:br/>
        <w:t xml:space="preserve"> lub cyfrową transformacją. Kadrze szkół i placówek będzie udzielana pomoc w rozwiązywaniu problemów dydaktycznych lub wychowawczych. Z kolei szkoły i placówki prowadzące kształcenie ogólne uzyskają możliwość poprawy warunków kształcenia w ramach dostosowania do wymogów edukacji włączającej, w tym poprawy dostępności. Rozwój opieki specjalistycznej, rehabilitacji medycznej, deinstytucjonalizacja usług opieki zdrowotnej, tworzenie i dostosowanie infrastruktury podmiotów leczniczych do wymagań osób ze szczególnymi potrzebami oraz zakup sprzętu medycznego i aparatury medycznej to kolejne elementy, jakie zostały zawarte w celu „Wysoka jakość życia społeczeństwa”. Natomiast działania związane ze wsparciem instytucji kultury ukierunkowane będą </w:t>
        <w:br/>
        <w:t xml:space="preserve">na rozwój i funkcjonowanie oferty instytucji kultury dostosowanej do odbiorców lokalnych </w:t>
        <w:br/>
        <w:t xml:space="preserve">oraz regionalnych, a także na realizację zadań w zakresie budowy/ rozbudowy/ remontu, wyposażenia oraz adaptacji obiektów do pełnienia funkcji kulturalnych. Cel ten obejmuje także działania związane </w:t>
        <w:br/>
        <w:t>z odrestaurowaniem i konserwacją ogólnodostępnych obiektów zabytkowych wraz</w:t>
        <w:br/>
        <w:t xml:space="preserve"> z zagospodarowaniem terenu wokół nich. Sektor kultury stanowi bowiem istotny potencjał zrównoważonego rozwoju społeczno-gospodarczego, przez co jest ważnym elementem wpływającym na podniesienie jakości życia.</w:t>
      </w:r>
    </w:p>
    <w:p>
      <w:pPr>
        <w:pStyle w:val="ListParagraph"/>
        <w:numPr>
          <w:ilvl w:val="0"/>
          <w:numId w:val="12"/>
        </w:numPr>
        <w:spacing w:lineRule="auto" w:line="259" w:before="0" w:after="160"/>
        <w:contextualSpacing/>
        <w:jc w:val="left"/>
        <w:rPr>
          <w:rFonts w:cs="Calibri" w:cstheme="minorHAnsi"/>
          <w:b/>
          <w:bCs/>
        </w:rPr>
      </w:pPr>
      <w:r>
        <w:rPr>
          <w:rFonts w:cs="Calibri" w:cstheme="minorHAnsi"/>
          <w:b/>
          <w:bCs/>
        </w:rPr>
        <w:t>Cel szczegółowy: Atrakcyjna i dostępna przestrzeń</w:t>
      </w:r>
    </w:p>
    <w:p>
      <w:pPr>
        <w:pStyle w:val="Normal"/>
        <w:spacing w:lineRule="auto" w:line="276"/>
        <w:jc w:val="both"/>
        <w:rPr>
          <w:rFonts w:cs="Calibri" w:cstheme="minorHAnsi"/>
        </w:rPr>
      </w:pPr>
      <w:r>
        <w:rPr>
          <w:rFonts w:cs="Calibri" w:cstheme="minorHAnsi"/>
        </w:rPr>
        <w:t>Cel szczegółowy „Atrakcyjna i dostępna przestrzeń” obejmuje zagadnienia związane z odnową przestrzeni publicznej, turystyką oraz ścieżkami rowerowymi prowadzącymi do atrakcji turystycznych.</w:t>
      </w:r>
    </w:p>
    <w:p>
      <w:pPr>
        <w:pStyle w:val="Normal"/>
        <w:spacing w:lineRule="auto" w:line="276"/>
        <w:jc w:val="both"/>
        <w:rPr>
          <w:rFonts w:cs="Calibri" w:cstheme="minorHAnsi"/>
        </w:rPr>
      </w:pPr>
      <w:r>
        <w:rPr>
          <w:rFonts w:cs="Calibri" w:cstheme="minorHAnsi"/>
        </w:rPr>
        <w:t xml:space="preserve">W celu przywrócenia lub nadania nowych funkcji, kulturalnych, społecznych lub edukacyjnych zdegradowanej przestrzeni, obiektom bądź terenom, w ramach celu „Atrakcyjna i dostępna przestrzeń” realizowane będą projekty polegające m.in. na ich przebudowie, remoncie, adaptacji </w:t>
        <w:br/>
        <w:t xml:space="preserve">(wraz z wyposażeniem) oraz projekty mające na celu uporządkowanie i zagospodarowanie przestrzeni publicznej, służące udostępnieniu terenów dla mieszkańców. W obszarze turystyki realizowane zostaną projekty przyczyniające się do rozwoju oferty turystycznej bazującej na lokalnych potencjałach turystycznych oraz walorach kulturowych i przyrodniczych, polegające m.in. na rozwoju infrastruktury turystycznej wraz z zakupem wyposażenia i sprzętu oraz adaptacji obiektów do pełnienia funkcji turystycznych. Działania te ukierunkowane będą na tworzenie lub rozszerzanie istniejących tras </w:t>
        <w:br/>
        <w:t xml:space="preserve">i szlaków turystycznych różnych rodzajów (np. piesze, wodne, rowerowe), w tym budowę, przebudowę i rozbudowę infrastruktury poprawiającej dostępność obiektów i atrakcji turystycznych </w:t>
        <w:br/>
        <w:t>oraz zagospodarowanie ich bezpośredniego otoczenia (m.in. parkingi, ciągi komunikacyjne, infrastruktura dla osób z niepełnosprawnościami, zielona infrastruktura). W ramach realizacji celu możliwa będzie także budowa/przebudowa szlaków i ścieżek rowerowych, prowadzących do atrakcji turystycznych lub miejsc bezpośrednio z nimi powiązanych.</w:t>
      </w:r>
    </w:p>
    <w:p>
      <w:pPr>
        <w:pStyle w:val="ListParagraph"/>
        <w:numPr>
          <w:ilvl w:val="0"/>
          <w:numId w:val="12"/>
        </w:numPr>
        <w:spacing w:lineRule="auto" w:line="259" w:before="0" w:after="160"/>
        <w:contextualSpacing/>
        <w:jc w:val="left"/>
        <w:rPr>
          <w:rFonts w:cs="Calibri" w:cstheme="minorHAnsi"/>
          <w:b/>
          <w:bCs/>
        </w:rPr>
      </w:pPr>
      <w:r>
        <w:rPr>
          <w:rFonts w:cs="Calibri" w:cstheme="minorHAnsi"/>
          <w:b/>
          <w:bCs/>
        </w:rPr>
        <w:t>Cel szczegółowy: Wsparcie administracyjne</w:t>
      </w:r>
    </w:p>
    <w:p>
      <w:pPr>
        <w:pStyle w:val="Normal"/>
        <w:spacing w:lineRule="auto" w:line="276"/>
        <w:jc w:val="both"/>
        <w:rPr>
          <w:rFonts w:cs="Calibri" w:cstheme="minorHAnsi"/>
        </w:rPr>
      </w:pPr>
      <w:r>
        <w:rPr>
          <w:rFonts w:cs="Calibri" w:cstheme="minorHAnsi"/>
        </w:rPr>
        <w:t>Cel szczegółowy „Wsparcie administracyjne” obejmuje działania mające na celu wsparcie zdolności administracyjnej w zakresie wdrażania Polityki Terytorialnej Województwa Kujawsko-Pomorskiego.</w:t>
      </w:r>
    </w:p>
    <w:p>
      <w:pPr>
        <w:pStyle w:val="Normal"/>
        <w:spacing w:lineRule="auto" w:line="276" w:before="0" w:after="0"/>
        <w:jc w:val="both"/>
        <w:rPr>
          <w:rFonts w:eastAsia="Times New Roman" w:cs="Calibri" w:cstheme="minorHAnsi"/>
          <w:lang w:eastAsia="pl-PL"/>
        </w:rPr>
      </w:pPr>
      <w:bookmarkStart w:id="135" w:name="_Hlk134169538"/>
      <w:r>
        <w:rPr>
          <w:rFonts w:cs="Calibri" w:cstheme="minorHAnsi"/>
        </w:rPr>
        <w:t>W ramach realizacji celu możliwe będzie wynagradzanie osób odpowiedzialnych za realizację polityki terytorialnej, zakup wyposażenia biurowego, sprzętu komputerowego oraz materiałów biurowych</w:t>
        <w:br/>
        <w:t xml:space="preserve"> i eksploatacyjnych oraz organizacja spotkań w ramach partnerstwa związanych z wdrażaniem polityki terytorialnej i rozwijaniem współpracy. Realizacja projektów przypisanych do celu „Wsparcie administracyjne” zapewni stworzenie i utrzymanie odpowiednich warunków pracy oraz zatrudnienie wykwalifikowanych pracowników, gwarantujących skuteczne wykonywanie obowiązków związanych </w:t>
        <w:br/>
        <w:t>z realizacją Polityki Terytorialnej.</w:t>
      </w:r>
      <w:bookmarkEnd w:id="135"/>
    </w:p>
    <w:p>
      <w:pPr>
        <w:pStyle w:val="Normal"/>
        <w:spacing w:lineRule="auto" w:line="276" w:before="0" w:after="0"/>
        <w:jc w:val="both"/>
        <w:rPr>
          <w:rFonts w:eastAsia="Times New Roman" w:cs="Calibri" w:cstheme="minorHAnsi"/>
          <w:lang w:eastAsia="pl-PL"/>
        </w:rPr>
      </w:pPr>
      <w:r>
        <w:rPr>
          <w:rFonts w:eastAsia="Times New Roman" w:cs="Calibri" w:cstheme="minorHAnsi"/>
          <w:lang w:eastAsia="pl-PL"/>
        </w:rPr>
      </w:r>
    </w:p>
    <w:p>
      <w:pPr>
        <w:pStyle w:val="Normal"/>
        <w:spacing w:lineRule="auto" w:line="276" w:before="0" w:after="0"/>
        <w:jc w:val="both"/>
        <w:rPr>
          <w:rFonts w:eastAsia="Times New Roman" w:cs="Calibri" w:cstheme="minorHAnsi"/>
          <w:lang w:eastAsia="pl-PL"/>
        </w:rPr>
      </w:pPr>
      <w:r>
        <w:rPr>
          <w:rFonts w:eastAsia="Times New Roman" w:cs="Calibri" w:cstheme="minorHAnsi"/>
          <w:lang w:eastAsia="pl-PL"/>
        </w:rPr>
      </w:r>
    </w:p>
    <w:p>
      <w:pPr>
        <w:pStyle w:val="2poziom"/>
        <w:numPr>
          <w:ilvl w:val="1"/>
          <w:numId w:val="48"/>
        </w:numPr>
        <w:ind w:left="709" w:hanging="567"/>
        <w:rPr/>
      </w:pPr>
      <w:bookmarkStart w:id="136" w:name="_Toc143161922"/>
      <w:r>
        <w:rPr/>
        <w:t>Drzewo ustaleń</w:t>
      </w:r>
      <w:bookmarkEnd w:id="136"/>
    </w:p>
    <w:p>
      <w:pPr>
        <w:pStyle w:val="2poziom"/>
        <w:numPr>
          <w:ilvl w:val="0"/>
          <w:numId w:val="0"/>
        </w:numPr>
        <w:spacing w:before="0" w:after="0"/>
        <w:ind w:left="0" w:hanging="0"/>
        <w:rPr>
          <w:color w:val="auto"/>
          <w:sz w:val="20"/>
          <w:szCs w:val="20"/>
        </w:rPr>
      </w:pPr>
      <w:bookmarkStart w:id="137" w:name="_Toc143161923"/>
      <w:r>
        <w:rPr>
          <w:color w:val="auto"/>
          <w:sz w:val="20"/>
          <w:szCs w:val="20"/>
        </w:rPr>
        <w:t>Tabela 14. Drzewo ustaleń</w:t>
      </w:r>
      <w:bookmarkEnd w:id="137"/>
    </w:p>
    <w:p>
      <w:pPr>
        <w:pStyle w:val="2poziom"/>
        <w:numPr>
          <w:ilvl w:val="0"/>
          <w:numId w:val="0"/>
        </w:numPr>
        <w:spacing w:before="0" w:after="0"/>
        <w:ind w:left="0" w:hanging="0"/>
        <w:rPr>
          <w:color w:val="auto"/>
          <w:sz w:val="20"/>
          <w:szCs w:val="20"/>
        </w:rPr>
      </w:pPr>
      <w:r>
        <w:rPr>
          <w:color w:val="auto"/>
          <w:sz w:val="20"/>
          <w:szCs w:val="20"/>
        </w:rPr>
      </w:r>
    </w:p>
    <w:tbl>
      <w:tblPr>
        <w:tblStyle w:val="Tabela-Siatka"/>
        <w:tblW w:w="906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271"/>
        <w:gridCol w:w="1559"/>
        <w:gridCol w:w="6230"/>
      </w:tblGrid>
      <w:tr>
        <w:trPr>
          <w:trHeight w:val="600" w:hRule="atLeast"/>
        </w:trPr>
        <w:tc>
          <w:tcPr>
            <w:tcW w:w="1271" w:type="dxa"/>
            <w:tcBorders>
              <w:top w:val="single" w:sz="4" w:space="0" w:color="FFFFFF"/>
              <w:left w:val="single" w:sz="4" w:space="0" w:color="FFFFFF"/>
              <w:bottom w:val="single" w:sz="4" w:space="0" w:color="FFFFFF"/>
              <w:right w:val="single" w:sz="4" w:space="0" w:color="FFFFFF"/>
            </w:tcBorders>
            <w:shd w:color="auto" w:fill="71DAFF" w:val="clear"/>
            <w:vAlign w:val="center"/>
          </w:tcPr>
          <w:p>
            <w:pPr>
              <w:pStyle w:val="Normal"/>
              <w:widowControl/>
              <w:spacing w:before="0" w:after="160"/>
              <w:jc w:val="center"/>
              <w:rPr>
                <w:rFonts w:cs="Calibri" w:cstheme="minorHAnsi"/>
                <w:b/>
                <w:bCs/>
                <w:sz w:val="18"/>
                <w:szCs w:val="18"/>
              </w:rPr>
            </w:pPr>
            <w:r>
              <w:rPr>
                <w:rFonts w:cs="Calibri" w:cstheme="minorHAnsi"/>
                <w:b/>
                <w:bCs/>
                <w:kern w:val="0"/>
                <w:sz w:val="18"/>
                <w:szCs w:val="18"/>
                <w:lang w:val="pl-PL" w:eastAsia="en-US" w:bidi="ar-SA"/>
              </w:rPr>
              <w:t>CEL GŁÓWNY</w:t>
            </w:r>
          </w:p>
        </w:tc>
        <w:tc>
          <w:tcPr>
            <w:tcW w:w="1559" w:type="dxa"/>
            <w:tcBorders>
              <w:top w:val="single" w:sz="4" w:space="0" w:color="FFFFFF"/>
              <w:left w:val="single" w:sz="4" w:space="0" w:color="FFFFFF"/>
              <w:bottom w:val="single" w:sz="4" w:space="0" w:color="FFFFFF"/>
              <w:right w:val="single" w:sz="4" w:space="0" w:color="FFFFFF"/>
            </w:tcBorders>
            <w:shd w:color="auto" w:fill="71DAFF" w:val="clear"/>
            <w:vAlign w:val="center"/>
          </w:tcPr>
          <w:p>
            <w:pPr>
              <w:pStyle w:val="Normal"/>
              <w:widowControl/>
              <w:spacing w:before="0" w:after="160"/>
              <w:jc w:val="center"/>
              <w:rPr>
                <w:rFonts w:cs="Calibri" w:cstheme="minorHAnsi"/>
                <w:b/>
                <w:bCs/>
                <w:sz w:val="18"/>
                <w:szCs w:val="18"/>
              </w:rPr>
            </w:pPr>
            <w:r>
              <w:rPr>
                <w:rFonts w:cs="Calibri" w:cstheme="minorHAnsi"/>
                <w:b/>
                <w:bCs/>
                <w:kern w:val="0"/>
                <w:sz w:val="18"/>
                <w:szCs w:val="18"/>
                <w:lang w:val="pl-PL" w:eastAsia="en-US" w:bidi="ar-SA"/>
              </w:rPr>
              <w:t>CELE SZCZEGÓŁOWE</w:t>
            </w:r>
          </w:p>
        </w:tc>
        <w:tc>
          <w:tcPr>
            <w:tcW w:w="6230" w:type="dxa"/>
            <w:tcBorders>
              <w:top w:val="single" w:sz="4" w:space="0" w:color="FFFFFF"/>
              <w:left w:val="single" w:sz="4" w:space="0" w:color="FFFFFF"/>
              <w:bottom w:val="single" w:sz="4" w:space="0" w:color="FFFFFF"/>
              <w:right w:val="single" w:sz="4" w:space="0" w:color="FFFFFF"/>
            </w:tcBorders>
            <w:shd w:color="auto" w:fill="71DAFF" w:val="clear"/>
            <w:vAlign w:val="center"/>
          </w:tcPr>
          <w:p>
            <w:pPr>
              <w:pStyle w:val="Normal"/>
              <w:widowControl/>
              <w:spacing w:before="0" w:after="160"/>
              <w:jc w:val="center"/>
              <w:rPr>
                <w:rFonts w:cs="Calibri" w:cstheme="minorHAnsi"/>
                <w:b/>
                <w:bCs/>
                <w:sz w:val="18"/>
                <w:szCs w:val="18"/>
              </w:rPr>
            </w:pPr>
            <w:r>
              <w:rPr>
                <w:rFonts w:cs="Calibri" w:cstheme="minorHAnsi"/>
                <w:b/>
                <w:bCs/>
                <w:kern w:val="0"/>
                <w:sz w:val="18"/>
                <w:szCs w:val="18"/>
                <w:lang w:val="pl-PL" w:eastAsia="en-US" w:bidi="ar-SA"/>
              </w:rPr>
              <w:t>PROJEKTY</w:t>
            </w:r>
          </w:p>
        </w:tc>
      </w:tr>
      <w:tr>
        <w:trPr/>
        <w:tc>
          <w:tcPr>
            <w:tcW w:w="1271" w:type="dxa"/>
            <w:vMerge w:val="restart"/>
            <w:tcBorders>
              <w:top w:val="single" w:sz="4" w:space="0" w:color="FFFFFF"/>
              <w:left w:val="single" w:sz="4" w:space="0" w:color="FFFFFF"/>
              <w:bottom w:val="single" w:sz="4" w:space="0" w:color="FFFFFF"/>
              <w:right w:val="single" w:sz="4" w:space="0" w:color="FFFFFF"/>
            </w:tcBorders>
            <w:shd w:color="auto" w:fill="143F7E" w:val="clear"/>
            <w:textDirection w:val="btLr"/>
          </w:tcPr>
          <w:p>
            <w:pPr>
              <w:pStyle w:val="Normal"/>
              <w:widowControl/>
              <w:spacing w:before="0" w:after="160"/>
              <w:ind w:left="113" w:right="113" w:hanging="0"/>
              <w:jc w:val="center"/>
              <w:rPr>
                <w:rFonts w:cs="Calibri" w:cstheme="minorHAnsi"/>
                <w:bCs/>
                <w:color w:val="000000" w:themeColor="text1"/>
                <w:sz w:val="20"/>
                <w:szCs w:val="20"/>
              </w:rPr>
            </w:pPr>
            <w:r>
              <w:rPr>
                <w:rFonts w:cs="Calibri" w:cstheme="minorHAnsi"/>
                <w:bCs/>
                <w:color w:val="FFFFFF" w:themeColor="background1"/>
                <w:kern w:val="0"/>
                <w:sz w:val="20"/>
                <w:szCs w:val="20"/>
                <w:lang w:val="pl-PL" w:eastAsia="en-US" w:bidi="ar-SA"/>
              </w:rPr>
              <w:t>Podniesienie poziomu</w:t>
            </w:r>
            <w:r>
              <w:rPr>
                <w:rFonts w:cs="Calibri" w:cstheme="minorHAnsi"/>
                <w:bCs/>
                <w:color w:val="000000" w:themeColor="text1"/>
                <w:kern w:val="0"/>
                <w:sz w:val="20"/>
                <w:szCs w:val="20"/>
                <w:lang w:val="pl-PL" w:eastAsia="en-US" w:bidi="ar-SA"/>
              </w:rPr>
              <w:t xml:space="preserve"> </w:t>
            </w:r>
            <w:r>
              <w:rPr>
                <w:rFonts w:cs="Calibri" w:cstheme="minorHAnsi"/>
                <w:bCs/>
                <w:color w:val="FFFFFF" w:themeColor="background1"/>
                <w:kern w:val="0"/>
                <w:sz w:val="20"/>
                <w:szCs w:val="20"/>
                <w:lang w:val="pl-PL" w:eastAsia="en-US" w:bidi="ar-SA"/>
              </w:rPr>
              <w:t xml:space="preserve">rozwoju społeczno-gospodarczego oraz wsparcie procesu zielonej transformacji i gospodarki </w:t>
            </w:r>
            <w:r>
              <w:rPr>
                <w:rFonts w:cs="Calibri" w:cstheme="minorHAnsi"/>
                <w:bCs/>
                <w:color w:val="000000" w:themeColor="text1"/>
                <w:kern w:val="0"/>
                <w:sz w:val="20"/>
                <w:szCs w:val="20"/>
                <w:lang w:val="pl-PL" w:eastAsia="en-US" w:bidi="ar-SA"/>
              </w:rPr>
              <w:t>zeroemisyjnej</w:t>
            </w:r>
          </w:p>
        </w:tc>
        <w:tc>
          <w:tcPr>
            <w:tcW w:w="1559" w:type="dxa"/>
            <w:vMerge w:val="restart"/>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000000" w:themeColor="text1"/>
                <w:sz w:val="20"/>
                <w:szCs w:val="20"/>
              </w:rPr>
            </w:pPr>
            <w:r>
              <w:rPr>
                <w:rFonts w:cs="Calibri" w:cstheme="minorHAnsi"/>
                <w:bCs/>
                <w:color w:val="FFFFFF" w:themeColor="background1"/>
                <w:kern w:val="0"/>
                <w:sz w:val="20"/>
                <w:szCs w:val="20"/>
                <w:lang w:val="pl-PL" w:eastAsia="en-US" w:bidi="ar-SA"/>
              </w:rPr>
              <w:t>Gospodarka i wykształcone kadry</w:t>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color w:val="000000" w:themeColor="text1"/>
                <w:sz w:val="18"/>
                <w:szCs w:val="18"/>
              </w:rPr>
            </w:pPr>
            <w:r>
              <w:rPr>
                <w:rFonts w:cs=""/>
                <w:color w:val="000000" w:themeColor="text1"/>
                <w:kern w:val="0"/>
                <w:sz w:val="18"/>
                <w:szCs w:val="22"/>
                <w:lang w:val="pl-PL" w:eastAsia="en-US" w:bidi="ar-SA"/>
              </w:rPr>
              <w:t>ZIT-WL-1 Sieć Włocławskiego Centrum Biznesu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color w:val="000000" w:themeColor="text1"/>
                <w:sz w:val="18"/>
                <w:szCs w:val="18"/>
              </w:rPr>
            </w:pPr>
            <w:r>
              <w:rPr>
                <w:rFonts w:cs=""/>
                <w:color w:val="000000" w:themeColor="text1"/>
                <w:kern w:val="0"/>
                <w:sz w:val="18"/>
                <w:szCs w:val="22"/>
                <w:lang w:val="pl-PL" w:eastAsia="en-US" w:bidi="ar-SA"/>
              </w:rPr>
              <w:t>ZIT-WL-2 Sieć Włocławskiego Centrum Biznesu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color w:val="000000" w:themeColor="text1"/>
                <w:sz w:val="18"/>
                <w:szCs w:val="18"/>
              </w:rPr>
            </w:pPr>
            <w:r>
              <w:rPr>
                <w:rFonts w:cs=""/>
                <w:color w:val="000000" w:themeColor="text1"/>
                <w:kern w:val="0"/>
                <w:sz w:val="18"/>
                <w:szCs w:val="22"/>
                <w:lang w:val="pl-PL" w:eastAsia="en-US" w:bidi="ar-SA"/>
              </w:rPr>
              <w:t>ZIT-WL-3 Sieć Włocławskiego Centrum Biznesu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color w:val="000000" w:themeColor="text1"/>
                <w:sz w:val="18"/>
                <w:szCs w:val="18"/>
              </w:rPr>
            </w:pPr>
            <w:r>
              <w:rPr>
                <w:rFonts w:cs=""/>
                <w:color w:val="000000" w:themeColor="text1"/>
                <w:kern w:val="0"/>
                <w:sz w:val="18"/>
                <w:szCs w:val="22"/>
                <w:lang w:val="pl-PL" w:eastAsia="en-US" w:bidi="ar-SA"/>
              </w:rPr>
              <w:t>ZIT-WL-4 Sieć Włocławskiego Centrum Biznesu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color w:val="000000" w:themeColor="text1"/>
                <w:sz w:val="18"/>
                <w:szCs w:val="18"/>
              </w:rPr>
            </w:pPr>
            <w:r>
              <w:rPr>
                <w:rFonts w:cs=""/>
                <w:color w:val="000000" w:themeColor="text1"/>
                <w:kern w:val="0"/>
                <w:sz w:val="18"/>
                <w:szCs w:val="22"/>
                <w:lang w:val="pl-PL" w:eastAsia="en-US" w:bidi="ar-SA"/>
              </w:rPr>
              <w:t>ZIT-WL-5 Sieć Włocławskiego Centrum Biznesu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color w:val="000000" w:themeColor="text1"/>
                <w:sz w:val="18"/>
                <w:szCs w:val="18"/>
              </w:rPr>
            </w:pPr>
            <w:r>
              <w:rPr>
                <w:rFonts w:cs=""/>
                <w:color w:val="000000" w:themeColor="text1"/>
                <w:kern w:val="0"/>
                <w:sz w:val="18"/>
                <w:szCs w:val="22"/>
                <w:lang w:val="pl-PL" w:eastAsia="en-US" w:bidi="ar-SA"/>
              </w:rPr>
              <w:t>ZIT-WL-6 Sieć Włocławskiego Centrum Biznesu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color w:val="000000" w:themeColor="text1"/>
                <w:sz w:val="18"/>
              </w:rPr>
            </w:pPr>
            <w:r>
              <w:rPr>
                <w:rFonts w:cs=""/>
                <w:color w:val="000000" w:themeColor="text1"/>
                <w:kern w:val="0"/>
                <w:sz w:val="18"/>
                <w:szCs w:val="22"/>
                <w:lang w:val="pl-PL" w:eastAsia="en-US" w:bidi="ar-SA"/>
              </w:rPr>
              <w:t xml:space="preserve">ZIT-WL-7 </w:t>
            </w:r>
            <w:r>
              <w:rPr>
                <w:rFonts w:cs=""/>
                <w:kern w:val="0"/>
                <w:sz w:val="18"/>
                <w:szCs w:val="18"/>
                <w:lang w:val="pl-PL" w:eastAsia="en-US" w:bidi="ar-SA"/>
              </w:rPr>
              <w:t>Poprawa efektywności funkcjonowania obiektu Włocławskiego Inkubatora Innowacji i Przedsiębiorczości wraz ze stworzeniem infrastruktury wykorzystywanej przez podmioty</w:t>
            </w:r>
            <w:r>
              <w:rPr>
                <w:rFonts w:cs=""/>
                <w:kern w:val="0"/>
                <w:sz w:val="22"/>
                <w:szCs w:val="24"/>
                <w:lang w:val="pl-PL" w:eastAsia="en-US" w:bidi="ar-SA"/>
              </w:rPr>
              <w:t xml:space="preserve"> </w:t>
            </w:r>
            <w:r>
              <w:rPr>
                <w:rFonts w:cs=""/>
                <w:kern w:val="0"/>
                <w:sz w:val="18"/>
                <w:szCs w:val="18"/>
                <w:lang w:val="pl-PL" w:eastAsia="en-US" w:bidi="ar-SA"/>
              </w:rPr>
              <w:t>gospodarcze działające w obszarze MOF Włocławek i osoby planujące uruchomić działalność</w:t>
            </w:r>
            <w:r>
              <w:rPr>
                <w:rFonts w:cs=""/>
                <w:kern w:val="0"/>
                <w:sz w:val="22"/>
                <w:szCs w:val="24"/>
                <w:lang w:val="pl-PL" w:eastAsia="en-US" w:bidi="ar-SA"/>
              </w:rPr>
              <w:t xml:space="preserve"> </w:t>
            </w:r>
            <w:r>
              <w:rPr>
                <w:rFonts w:cs=""/>
                <w:kern w:val="0"/>
                <w:sz w:val="18"/>
                <w:szCs w:val="18"/>
                <w:lang w:val="pl-PL" w:eastAsia="en-US" w:bidi="ar-SA"/>
              </w:rPr>
              <w:t>gospodarczą oraz</w:t>
            </w:r>
            <w:r>
              <w:rPr>
                <w:rFonts w:cs=""/>
                <w:kern w:val="0"/>
                <w:sz w:val="22"/>
                <w:szCs w:val="24"/>
                <w:lang w:val="pl-PL" w:eastAsia="en-US" w:bidi="ar-SA"/>
              </w:rPr>
              <w:t xml:space="preserve"> </w:t>
            </w:r>
            <w:r>
              <w:rPr>
                <w:rFonts w:cs=""/>
                <w:kern w:val="0"/>
                <w:sz w:val="18"/>
                <w:szCs w:val="18"/>
                <w:lang w:val="pl-PL" w:eastAsia="en-US" w:bidi="ar-SA"/>
              </w:rPr>
              <w:t>powołaniem Sieci Włocławskiego Centrum Biznesu w celu świadczenia usług o charakterze podstawowym, specjalistycznym i zaawansowanym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ZIT-WL-41 Budowa budynku dydaktyczno - warsztatowego dla Zespołu Szkół w Kowalu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 xml:space="preserve">ZIT-WL-61 Dostosowanie kształcenia zawodowego do potrzeb rynku pracy  </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ZIT-WL-64 Uzbrojenie terenów inwestycyjnych w MOF Włocławek - rozwój gospodarczy gminy Choceń</w:t>
            </w:r>
          </w:p>
        </w:tc>
      </w:tr>
      <w:tr>
        <w:trPr>
          <w:trHeight w:val="430" w:hRule="atLeast"/>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ZIT-WL-65 Uzbrojenie terenów inwestycyjnych gminy Lubień Kujawski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restart"/>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18"/>
                <w:szCs w:val="18"/>
              </w:rPr>
            </w:pPr>
            <w:r>
              <w:rPr>
                <w:rFonts w:cs="Calibri" w:cstheme="minorHAnsi"/>
                <w:bCs/>
                <w:color w:val="FFFFFF" w:themeColor="background1"/>
                <w:kern w:val="0"/>
                <w:sz w:val="20"/>
                <w:szCs w:val="18"/>
                <w:lang w:val="pl-PL" w:eastAsia="en-US" w:bidi="ar-SA"/>
              </w:rPr>
              <w:t>Zielona transformacja i gospodarka niskoemisyjna</w:t>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 Poprawa funkcjonowania transportu zbiorowego w mieście Włocławek poprzez modernizację infrastruktury towarzyszącej transportowi zbiorowemu.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ZIT-WL-9 Budowa i przebudowa dróg rowerowych na terenie miasta Włocławek</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ZIT-WL-10 Tabor na potrzeby czystej komunikacji w mieście Włocławek</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ZIT-WL-11 Kompleksowa modernizacja energetyczna budynku Szkoły Podstawowej w miejscowości Więsławice</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ZIT-WL-12 Termomodernizacja budynku Zespołu Szkół im. Marii Grodzickiej w Lubrańcu Marysinie</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ZIT-WL-13 Termomodernizacja budynków użyteczności publicznej na terenie Gminy Izbica Kujawska</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ZIT-WL-14 Kompleksowa termomodernizacja budynków użyteczności publicznej na terenie gminy Lubraniec</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
                <w:bCs/>
                <w:sz w:val="18"/>
                <w:szCs w:val="18"/>
              </w:rPr>
            </w:pPr>
            <w:r>
              <w:rPr>
                <w:rFonts w:cs=""/>
                <w:kern w:val="0"/>
                <w:sz w:val="18"/>
                <w:szCs w:val="22"/>
                <w:lang w:val="pl-PL" w:eastAsia="en-US" w:bidi="ar-SA"/>
              </w:rPr>
              <w:t>ZIT-WL-15 Termomodernizacja budynków użyteczności publicznej na terenie miasta Włocławek</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ZIT-WL-16 Termomodernizacja obiektów użyteczności publicznej.</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ZIT-WL-17 Kompleksowa termomodernizacja komunalnych budynków mieszkalnych w Kowalu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ZIT-WL-18 Kompleksowa modernizacja energetyczna komunalnych budynków mieszkalnych na terenie Miasta i Gminy Chodecz</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ZIT-WL-19 Termomodernizacja komunalnego budynku mieszkalnego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ZIT-WL-20 Termomodernizacja komunalnych budynków mieszkalnych</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ZIT-WL-21 Termomodernizacja komunalnych budynków mieszkalnych</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ZIT-WL-22 Kompleksowa modernizacja energetyczna komunalnych budynków mieszkalnych na terenie Gminy Boniewo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ZIT-WL-23 Budowa kotłowni miejskiej w Brześciu Kujawskim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ZIT-WL-24 Wymiana źródeł ciepła w jednostkach organizacyjnych powiatu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ZIT-WL-25 Modernizacja ciepłowni lokalnej</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ZIT-WL-26 Modernizacja lokalnego źródła ciepła z infrastrukturą towarzyszącą w Zespole Szkól Boniewo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ZIT-WL-27 Modernizacja lokalnych ciepłowni w obiektach użyteczności publicznej z wykorzystaniem OZE</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ZIT-WL-28 Wymiana oświetlenie ulicznego na terenie gminy Lubraniec</w:t>
            </w:r>
          </w:p>
        </w:tc>
      </w:tr>
      <w:tr>
        <w:trPr>
          <w:trHeight w:val="489" w:hRule="atLeast"/>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ZIT-WL-29 Wymiana oświetlenia na energooszczędne na obszarze Miasta Włocławek</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ZIT-WL-30 Zielone tereny Śródmieścia miasta Włocławek</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ZIT-WL-31 Modernizacja stacji uzdatniania wody w m. Narty, gm. Lubień Kujawski</w:t>
            </w:r>
          </w:p>
        </w:tc>
      </w:tr>
      <w:tr>
        <w:trPr>
          <w:trHeight w:val="566" w:hRule="atLeast"/>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ZIT-WL-32 Modernizacja systemu wodociągowego w zakresie wprowadzenia inteligentnych rozwiązań"</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ZIT-WL-33Budowa i przebudowa infrastruktury służącej zaopatrzeniu ludności w wodę pitną na terenie gminy Choceń</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ZIT-WL-34 "Modernizacja systemu wodociągowego w zakresie wprowadzenia inteligentnych rozwiązań"</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ZIT-WL-35 Wykonanie systemu zdalnego pomiaru i dystrybucji wody w sieci oraz radiowych pomiarów jej zużycia na danych obszarach gminy.</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ZIT-WL-36 Rozbudowa i modernizacja stacji uzdatniania wody w Szpetalu Górnym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ZIT-WL-37 Modernizacja sieci wodociągowej na terenie gminy Lubraniec</w:t>
            </w:r>
          </w:p>
        </w:tc>
      </w:tr>
      <w:tr>
        <w:trPr>
          <w:trHeight w:val="388" w:hRule="atLeast"/>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ZIT-WL-38 Modernizacja sieci wodociągowej na terenie Gminy Boniewo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restart"/>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FFFFFF" w:themeColor="background1"/>
                <w:sz w:val="20"/>
                <w:szCs w:val="18"/>
              </w:rPr>
            </w:pPr>
            <w:r>
              <w:rPr>
                <w:rFonts w:cs="Calibri" w:cstheme="minorHAnsi"/>
                <w:bCs/>
                <w:color w:val="FFFFFF" w:themeColor="background1"/>
                <w:kern w:val="0"/>
                <w:sz w:val="20"/>
                <w:szCs w:val="18"/>
                <w:lang w:val="pl-PL" w:eastAsia="en-US" w:bidi="ar-SA"/>
              </w:rPr>
              <w:t>Wysoka jakość życia społeczeństwa</w:t>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sz w:val="18"/>
              </w:rPr>
            </w:pPr>
            <w:r>
              <w:rPr>
                <w:rFonts w:cs=""/>
                <w:kern w:val="0"/>
                <w:sz w:val="18"/>
                <w:szCs w:val="22"/>
                <w:lang w:val="pl-PL" w:eastAsia="en-US" w:bidi="ar-SA"/>
              </w:rPr>
              <w:t>ZIT-WL-39 Przebudowa oraz remont Przedszkola Samorządowego w Izbicy Kujawskiej wraz z budową podjazdu dla osób niepełnosprawnych</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20"/>
                <w:szCs w:val="18"/>
              </w:rPr>
            </w:pPr>
            <w:r>
              <w:rPr>
                <w:rFonts w:cs="Calibri" w:cstheme="minorHAnsi"/>
                <w:bCs/>
                <w:kern w:val="0"/>
                <w:sz w:val="20"/>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ZIT-WL-40 Rozbudowa i modernizacja Przedszkola Publicznego nr 1 w Brześciu Kujawskim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ZIT-WL-42 Organizacja zajęć dla dzieci w wieku przedszkolnym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ZIT-WL-43 Organizacja zajęć i poprawa jakości opieki przedszkolnej w Gminie Brześć Kujawski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ZIT-WL-44 "Poprawa jakości opieki przedszkolnej na terenie Miasta i Gminy Chodecz."</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ZIT-WL-45 Zwiększenie liczby miejsc przedszkolnych w Przedszkolu Samorządowym w Izbicy Kujawskiej.</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ZIT-WL-46 Organizacja zajęć dla dzieci w wieku przedszkolnym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ZIT-WL-47 Upowszechnienie i zapewnienie wysokiej jakości edukacji przedszkolnej na terenie gminy Lubraniec</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ZIT-WL-48 Utworzenie nowych miejsc i bieżące ich funkcjonowanie w placówkach przedszkolnych na terenie gminy Lubień Kujawski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ZIT-WL-49 Podniesienie kompetencji kluczowych uczniów z terenu Gminy Kowal</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ZIT-WL-50 Podniesienie kompetencji kluczowych uczniów</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ZIT-WL-51 Podniesienie jakości kształcenia ogólnego w gminie Lubień Kujawski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ZIT-WL-52 Organizacja dodatkowych zajęć dla dzieci w wieku szkolnym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ZIT-WL-53 Uczymy się z pasją!</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ZIT-WL-54 Poprawa oferty edukacyjnej w Szkole Podstawowej im. Tadeusza Kościuszki w Chodczu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ZIT-WL-55 Organizacja zajęć dla dzieci w wieku szkolnym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ZIT-WL-56 Kompetencje kluczowe dla uczniów z gminy Fabianki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ZIT-WL-57 Podniesienie kompetencji kluczowych uczniów szkół podstawowych z gminy Fabianki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ZIT-WL-58 Wyrównywanie szans edukacyjnych poprzez podniesienie jakości i efektywności kształcenia ogólnego w gminie Lubraniec</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ZIT-WL-59 Dostosowanie kształcenia ogólnego do potrzeb rynku pracy</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ZIT-WL-60 Poprawa jakości edukacji w Szkole Podstawowej w Lubaniu</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ZIT-WL-62 Remont pomieszczeń rehabilitacji w Izbicy Kujawskiej</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ZIT-WL-63 Zakup aparatu rezonansu magnetycznego wraz z dostosowaniem pomieszczeń przy Powiatowym Centrum Zdrowia</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ZIT-WL-66 Rozwój kultury na terenie Miasta i Gminy Chodecz</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ZIT-WL-67 Budowa i rozbudowa instytucji kultury na terenie gminy Lubraniec</w:t>
            </w:r>
          </w:p>
        </w:tc>
      </w:tr>
      <w:tr>
        <w:trPr>
          <w:trHeight w:val="710" w:hRule="atLeast"/>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ZIT-WL-68 Przebudowa, remont oraz zakup wyposażenia na potrzeby prowadzenia edukacji kulturalnej w Miejsko-Gminnym Centrum Kultury w Izbicy Kujawskiej</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ZIT-WL-69 Centrum Życia Społecznego - adaptacja Biblioteki Publicznej w miejscowości Grabkowo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ZIT-WL-70 Upowszechnianie działalności kulturowej na terenie Gminy Baruchowo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ZIT-WL-71 Wsparcie działalności Gminnego Ośrodka Kultury w Lubaniu</w:t>
            </w:r>
          </w:p>
        </w:tc>
      </w:tr>
      <w:tr>
        <w:trPr>
          <w:trHeight w:val="319" w:hRule="atLeast"/>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ZIT-WL-72 Doposażenie instytucji kultury.</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restart"/>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color w:val="FFFFFF" w:themeColor="background1"/>
                <w:sz w:val="20"/>
                <w:szCs w:val="18"/>
              </w:rPr>
            </w:pPr>
            <w:r>
              <w:rPr>
                <w:rFonts w:cs="Calibri" w:cstheme="minorHAnsi"/>
                <w:bCs/>
                <w:color w:val="FFFFFF" w:themeColor="background1"/>
                <w:kern w:val="0"/>
                <w:sz w:val="20"/>
                <w:szCs w:val="18"/>
                <w:lang w:val="pl-PL" w:eastAsia="en-US" w:bidi="ar-SA"/>
              </w:rPr>
              <w:t>Atrakcyjna i dostępna przestrzeń</w:t>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sz w:val="18"/>
              </w:rPr>
            </w:pPr>
            <w:r>
              <w:rPr>
                <w:rFonts w:cs=""/>
                <w:kern w:val="0"/>
                <w:sz w:val="18"/>
                <w:szCs w:val="22"/>
                <w:lang w:val="pl-PL" w:eastAsia="en-US" w:bidi="ar-SA"/>
              </w:rPr>
              <w:t>ZIT-WL-73 Rozwój turystyki na terenie Miasta i Gminy Chodecz</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20"/>
                <w:szCs w:val="18"/>
              </w:rPr>
            </w:pPr>
            <w:r>
              <w:rPr>
                <w:rFonts w:cs="Calibri" w:cstheme="minorHAnsi"/>
                <w:bCs/>
                <w:kern w:val="0"/>
                <w:sz w:val="20"/>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ZIT-WL-74 Rozbudowa infrastruktury turystycznej na terenie gminy Baruchowo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extDirection w:val="btLr"/>
            <w:vAlign w:val="center"/>
          </w:tcPr>
          <w:p>
            <w:pPr>
              <w:pStyle w:val="Normal"/>
              <w:widowControl/>
              <w:spacing w:before="0" w:after="160"/>
              <w:ind w:left="113" w:right="113" w:hanging="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ZIT-WL-75 Rozwój infrastruktury turystycznej, rekreacyjnej wraz z zakupem wyposażenia i sprzętu na terenie Gminy Izbica Kujawska</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ZIT-WL-76 Rozwój infrastruktury i promocja oferty turystycznej w Gminie Lubraniec</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ZIT-WL-77 3 Maja woonerfem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ZIT-WL-78 Odnowa przestrzeni publicznej poprzez modernizację obiektów użyteczności publicznej na potrzeby społeczności lokalnej</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ZIT-WL-79 Odnowa przestrzeni publicznych na terenie gminy Choceń</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ZIT-WL-80 Odnowa przestrzeni publicznej w miejscowości Więsławice</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ZIT-WL-81 Odnowa przestrzeni publicznej na obszarze miasta Brześć Kujawski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ZIT-WL-82 Odnowa przestrzeni publicznych na terenie Miasta i Gminy Chodecz</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ZIT-WL-83 Odnowa przestrzeni publicznych na terenie Gminy Izbica Kujawska</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ZIT-WL-84 Odnowa przestrzeni publicznej w Lubieniu Kujawskim</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ZIT-WL-85 Odnowa przestrzeni publicznej na terenie Parku Kulturowego w Sarnowie</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ZIT-WL-86 Odnowa przestrzeni publicznej na terenie Gminy Włocławek.</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ZIT-WL-87 Rewitalizacja - odnowa przestrzeni publicznej na terenie Gminy Boniewo</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ZIT-WL-88 Odnowa przestrzeni publicznej w gminie Fabianki</w:t>
            </w:r>
          </w:p>
        </w:tc>
      </w:tr>
      <w:tr>
        <w:trPr>
          <w:trHeight w:val="282" w:hRule="atLeast"/>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ZIT-WL-89 Zagospodarowanie terenów przestrzeni publicznej</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restart"/>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20"/>
                <w:szCs w:val="18"/>
              </w:rPr>
            </w:pPr>
            <w:r>
              <w:rPr>
                <w:rFonts w:cs="Calibri" w:cstheme="minorHAnsi"/>
                <w:bCs/>
                <w:color w:val="FFFFFF" w:themeColor="background1"/>
                <w:kern w:val="0"/>
                <w:sz w:val="20"/>
                <w:szCs w:val="18"/>
                <w:lang w:val="pl-PL" w:eastAsia="en-US" w:bidi="ar-SA"/>
              </w:rPr>
              <w:t>Wsparcie administracyjne</w:t>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sz w:val="18"/>
              </w:rPr>
            </w:pPr>
            <w:r>
              <w:rPr>
                <w:rFonts w:cs=""/>
                <w:kern w:val="0"/>
                <w:sz w:val="18"/>
                <w:szCs w:val="22"/>
                <w:lang w:val="pl-PL" w:eastAsia="en-US" w:bidi="ar-SA"/>
              </w:rPr>
              <w:t>ZIT-WL-90 Wsparcie potencjału administracyjnego Biura Stowarzyszenia WŁOF – Zintegrowane Inwestycje terytorialne Miejskiego Obszaru Funkcjonalnego Włocławka - etap I</w:t>
            </w:r>
          </w:p>
        </w:tc>
      </w:tr>
      <w:tr>
        <w:trPr/>
        <w:tc>
          <w:tcPr>
            <w:tcW w:w="1271" w:type="dxa"/>
            <w:vMerge w:val="continue"/>
            <w:tcBorders>
              <w:top w:val="single" w:sz="4" w:space="0" w:color="FFFFFF"/>
              <w:left w:val="single" w:sz="4" w:space="0" w:color="FFFFFF"/>
              <w:bottom w:val="single" w:sz="4" w:space="0" w:color="FFFFFF"/>
              <w:right w:val="single" w:sz="4" w:space="0" w:color="FFFFFF"/>
            </w:tcBorders>
            <w:shd w:color="auto" w:fill="143F7E" w:val="clear"/>
          </w:tcPr>
          <w:p>
            <w:pPr>
              <w:pStyle w:val="Normal"/>
              <w:widowControl/>
              <w:spacing w:before="0" w:after="160"/>
              <w:jc w:val="left"/>
              <w:rPr>
                <w:rFonts w:cs="Calibri" w:cstheme="minorHAnsi"/>
                <w:bCs/>
                <w:sz w:val="18"/>
                <w:szCs w:val="18"/>
              </w:rPr>
            </w:pPr>
            <w:r>
              <w:rPr>
                <w:rFonts w:cs="Calibri" w:cstheme="minorHAnsi"/>
                <w:bCs/>
                <w:kern w:val="0"/>
                <w:sz w:val="18"/>
                <w:szCs w:val="18"/>
                <w:lang w:val="pl-PL" w:eastAsia="en-US" w:bidi="ar-SA"/>
              </w:rPr>
            </w:r>
          </w:p>
        </w:tc>
        <w:tc>
          <w:tcPr>
            <w:tcW w:w="1559" w:type="dxa"/>
            <w:vMerge w:val="continue"/>
            <w:tcBorders>
              <w:top w:val="single" w:sz="4" w:space="0" w:color="FFFFFF"/>
              <w:left w:val="single" w:sz="4" w:space="0" w:color="FFFFFF"/>
              <w:bottom w:val="single" w:sz="4" w:space="0" w:color="FFFFFF"/>
              <w:right w:val="single" w:sz="4" w:space="0" w:color="FFFFFF"/>
            </w:tcBorders>
            <w:shd w:color="auto" w:fill="2277CC" w:val="clear"/>
            <w:vAlign w:val="center"/>
          </w:tcPr>
          <w:p>
            <w:pPr>
              <w:pStyle w:val="Normal"/>
              <w:widowControl/>
              <w:spacing w:before="0" w:after="160"/>
              <w:jc w:val="center"/>
              <w:rPr>
                <w:rFonts w:cs="Calibri" w:cstheme="minorHAnsi"/>
                <w:bCs/>
                <w:sz w:val="20"/>
                <w:szCs w:val="18"/>
              </w:rPr>
            </w:pPr>
            <w:r>
              <w:rPr>
                <w:rFonts w:cs="Calibri" w:cstheme="minorHAnsi"/>
                <w:bCs/>
                <w:kern w:val="0"/>
                <w:sz w:val="20"/>
                <w:szCs w:val="18"/>
                <w:lang w:val="pl-PL" w:eastAsia="en-US" w:bidi="ar-SA"/>
              </w:rPr>
            </w:r>
          </w:p>
        </w:tc>
        <w:tc>
          <w:tcPr>
            <w:tcW w:w="6230" w:type="dxa"/>
            <w:tcBorders>
              <w:top w:val="single" w:sz="4" w:space="0" w:color="FFFFFF"/>
              <w:left w:val="single" w:sz="4" w:space="0" w:color="FFFFFF"/>
              <w:bottom w:val="single" w:sz="4" w:space="0" w:color="FFFFFF"/>
              <w:right w:val="single" w:sz="4" w:space="0" w:color="FFFFFF"/>
            </w:tcBorders>
            <w:shd w:color="auto" w:fill="76B4F3" w:val="clear"/>
          </w:tcPr>
          <w:p>
            <w:pPr>
              <w:pStyle w:val="Normal"/>
              <w:widowControl/>
              <w:spacing w:before="0" w:after="160"/>
              <w:jc w:val="left"/>
              <w:rPr>
                <w:rFonts w:cs="Calibri" w:cstheme="minorHAnsi"/>
                <w:bCs/>
                <w:sz w:val="18"/>
                <w:szCs w:val="18"/>
              </w:rPr>
            </w:pPr>
            <w:r>
              <w:rPr>
                <w:rFonts w:cs=""/>
                <w:kern w:val="0"/>
                <w:sz w:val="18"/>
                <w:szCs w:val="22"/>
                <w:lang w:val="pl-PL" w:eastAsia="en-US" w:bidi="ar-SA"/>
              </w:rPr>
              <w:t>ZIT-WL-91 Wsparcie potencjału administracyjnego Biura Stowarzyszenia WŁOF – Zintegrowane Inwestycje terytorialne Miejskiego Obszaru Funkcjonalnego Włocławka - etap II</w:t>
            </w:r>
          </w:p>
        </w:tc>
      </w:tr>
    </w:tbl>
    <w:p>
      <w:pPr>
        <w:pStyle w:val="Normal"/>
        <w:rPr>
          <w:b/>
          <w:bCs/>
          <w:highlight w:val="yellow"/>
          <w:u w:val="single"/>
        </w:rPr>
      </w:pPr>
      <w:r>
        <w:rPr>
          <w:b/>
          <w:bCs/>
          <w:highlight w:val="yellow"/>
          <w:u w:val="single"/>
        </w:rPr>
      </w:r>
    </w:p>
    <w:p>
      <w:pPr>
        <w:pStyle w:val="Nagwek1"/>
        <w:numPr>
          <w:ilvl w:val="0"/>
          <w:numId w:val="49"/>
        </w:numPr>
        <w:rPr/>
      </w:pPr>
      <w:bookmarkStart w:id="138" w:name="_Hlk134097852"/>
      <w:bookmarkStart w:id="139" w:name="_Toc143161924"/>
      <w:r>
        <w:rPr/>
        <w:t>Oczekiwane wskaźniki produktu i rezultatu realizacji strategii</w:t>
      </w:r>
      <w:bookmarkEnd w:id="139"/>
    </w:p>
    <w:p>
      <w:pPr>
        <w:pStyle w:val="Nagwek1"/>
        <w:numPr>
          <w:ilvl w:val="0"/>
          <w:numId w:val="0"/>
        </w:numPr>
        <w:ind w:left="0" w:hanging="0"/>
        <w:rPr>
          <w:color w:val="000000" w:themeColor="text1"/>
          <w:sz w:val="20"/>
          <w:szCs w:val="20"/>
        </w:rPr>
      </w:pPr>
      <w:bookmarkStart w:id="140" w:name="_Toc143161925"/>
      <w:r>
        <w:rPr>
          <w:color w:val="000000" w:themeColor="text1"/>
          <w:sz w:val="20"/>
          <w:szCs w:val="20"/>
        </w:rPr>
        <w:t>Tabela 15. Wskaźniki produktu</w:t>
      </w:r>
      <w:bookmarkEnd w:id="140"/>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143"/>
        <w:gridCol w:w="836"/>
        <w:gridCol w:w="876"/>
        <w:gridCol w:w="2670"/>
        <w:gridCol w:w="1470"/>
        <w:gridCol w:w="1080"/>
        <w:gridCol w:w="984"/>
      </w:tblGrid>
      <w:tr>
        <w:trPr/>
        <w:tc>
          <w:tcPr>
            <w:tcW w:w="1143" w:type="dxa"/>
            <w:tcBorders/>
            <w:shd w:color="auto" w:fill="76B4F3" w:val="clear"/>
          </w:tcPr>
          <w:p>
            <w:pPr>
              <w:pStyle w:val="Normal"/>
              <w:widowControl/>
              <w:spacing w:lineRule="auto" w:line="240"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lineRule="auto" w:line="240"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t>Cel szczegółowy</w:t>
            </w:r>
          </w:p>
          <w:p>
            <w:pPr>
              <w:pStyle w:val="Normal"/>
              <w:widowControl/>
              <w:spacing w:before="0" w:after="160"/>
              <w:jc w:val="center"/>
              <w:rPr>
                <w:sz w:val="18"/>
                <w:szCs w:val="18"/>
              </w:rPr>
            </w:pPr>
            <w:r>
              <w:rPr>
                <w:rFonts w:cs=""/>
                <w:kern w:val="0"/>
                <w:sz w:val="18"/>
                <w:szCs w:val="18"/>
                <w:lang w:val="pl-PL" w:eastAsia="en-US" w:bidi="ar-SA"/>
              </w:rPr>
            </w:r>
          </w:p>
        </w:tc>
        <w:tc>
          <w:tcPr>
            <w:tcW w:w="836"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sz w:val="18"/>
                <w:szCs w:val="18"/>
              </w:rPr>
            </w:pPr>
            <w:r>
              <w:rPr>
                <w:rFonts w:eastAsia="Times New Roman" w:cs="Calibri"/>
                <w:b/>
                <w:bCs/>
                <w:color w:val="000000"/>
                <w:kern w:val="0"/>
                <w:sz w:val="18"/>
                <w:szCs w:val="18"/>
                <w:lang w:val="pl-PL" w:eastAsia="pl-PL" w:bidi="ar-SA"/>
              </w:rPr>
              <w:t>Fundusz</w:t>
            </w:r>
          </w:p>
        </w:tc>
        <w:tc>
          <w:tcPr>
            <w:tcW w:w="876"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sz w:val="18"/>
                <w:szCs w:val="18"/>
              </w:rPr>
            </w:pPr>
            <w:r>
              <w:rPr>
                <w:rFonts w:eastAsia="Times New Roman" w:cs="Calibri"/>
                <w:b/>
                <w:bCs/>
                <w:color w:val="000000"/>
                <w:kern w:val="0"/>
                <w:sz w:val="18"/>
                <w:szCs w:val="18"/>
                <w:lang w:val="pl-PL" w:eastAsia="pl-PL" w:bidi="ar-SA"/>
              </w:rPr>
              <w:t>Numer</w:t>
            </w:r>
          </w:p>
        </w:tc>
        <w:tc>
          <w:tcPr>
            <w:tcW w:w="2670"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sz w:val="18"/>
                <w:szCs w:val="18"/>
              </w:rPr>
            </w:pPr>
            <w:r>
              <w:rPr>
                <w:rFonts w:eastAsia="Times New Roman" w:cs="Calibri"/>
                <w:b/>
                <w:bCs/>
                <w:color w:val="000000"/>
                <w:kern w:val="0"/>
                <w:sz w:val="18"/>
                <w:szCs w:val="18"/>
                <w:lang w:val="pl-PL" w:eastAsia="pl-PL" w:bidi="ar-SA"/>
              </w:rPr>
              <w:t>Wskaźnik</w:t>
            </w:r>
          </w:p>
        </w:tc>
        <w:tc>
          <w:tcPr>
            <w:tcW w:w="1470"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sz w:val="18"/>
                <w:szCs w:val="18"/>
              </w:rPr>
            </w:pPr>
            <w:r>
              <w:rPr>
                <w:rFonts w:eastAsia="Times New Roman" w:cs="Calibri"/>
                <w:b/>
                <w:bCs/>
                <w:color w:val="000000"/>
                <w:kern w:val="0"/>
                <w:sz w:val="18"/>
                <w:szCs w:val="18"/>
                <w:lang w:val="pl-PL" w:eastAsia="pl-PL" w:bidi="ar-SA"/>
              </w:rPr>
              <w:t>Jednostka miary</w:t>
            </w:r>
          </w:p>
        </w:tc>
        <w:tc>
          <w:tcPr>
            <w:tcW w:w="1080"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t>Cel pośredni (2024)</w:t>
            </w:r>
          </w:p>
        </w:tc>
        <w:tc>
          <w:tcPr>
            <w:tcW w:w="984"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sz w:val="18"/>
                <w:szCs w:val="18"/>
              </w:rPr>
            </w:pPr>
            <w:r>
              <w:rPr>
                <w:rFonts w:eastAsia="Times New Roman" w:cs="Calibri"/>
                <w:b/>
                <w:bCs/>
                <w:color w:val="000000"/>
                <w:kern w:val="0"/>
                <w:sz w:val="18"/>
                <w:szCs w:val="18"/>
                <w:lang w:val="pl-PL" w:eastAsia="pl-PL" w:bidi="ar-SA"/>
              </w:rPr>
              <w:t>Cel końcowy (2029)</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1(iii)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RCO001</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Przedsiębiorstwa objęte wsparciem (w tym: mikro, małe średnie duże)</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13</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109</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1(iii)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RCO005</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Nowe przedsiębiorstw objęte wsparciem</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10</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RCO019</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Budynki publiczne o lepszej charakterystyce energetycznej</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m2</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8 661</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PLRO025</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zmodernizowanych źródeł ciepła (innych niż indywidualne)*</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PLRO025</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zmodernizowanych źródeł ciepła (innych niż indywidualne)*</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17</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19 420</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RCO018</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Lokale mieszkalne o lepszej udoskonalonej charakterystyce energetycznej</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64</w:t>
            </w:r>
          </w:p>
        </w:tc>
      </w:tr>
      <w:tr>
        <w:trPr>
          <w:trHeight w:val="73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RCO121</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Powierzchnia objęta środkami ochrony przed klęskami żywiołowymi związanymi z klimatem (oprócz powodzi i niekontrolowanych pożarów)</w:t>
            </w:r>
          </w:p>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ha</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2,8</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zintegrowanej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48 552</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RCO026</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Zielona infrastruktura wybudowana lub zmodernizowana w celu przystosowania się do zmian klimatu</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ha</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2,8</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3 600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13 569</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RCO030</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Długość nowych lub zmodernizowanych sieci wodociągowych w ramach zbiorowych systemów zaopatrzenia w wodę</w:t>
            </w:r>
          </w:p>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km</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70</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2(viii)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RCO056</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Długość przebudowanych lub zmodernizowanych linii tramwajowych i linii metra</w:t>
            </w:r>
          </w:p>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km</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0,68</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2(viii)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48 552</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2(viii)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RCO058</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Wspierana infrastruktura rowerowa</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km</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79</w:t>
            </w:r>
          </w:p>
        </w:tc>
      </w:tr>
      <w:tr>
        <w:trPr>
          <w:trHeight w:val="73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2(viii)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PLRO084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zakupionych jednostek taboru pasażerskiego w publicznym transporcie zbiorowym komunikacji miejskiej i metropolitarnej</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7</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11</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RCO066</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Pojemność klas w nowych lub zmodernizowanych placówkach opieki nad dziećmi</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84</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309</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150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1 503</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4(ii)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RCO067</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Pojemność klas w nowych lub zmodernizowanych placówkach oświatowych</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80</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RCO069</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Pojemność nowych i zmodernizowanych placówek opieki zdrowotnej</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osoby/rok</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600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1 800</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48 552</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4(v)</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PLRO133</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wspartych podmiotów wykonujących działalność leczniczą</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PLFCO01</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dzieci objętych dodatkowymi zajęciami w edukacji przedszkolnej</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172</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PLFCO02</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dofinansowanych miejsc wychowania przedszkolnego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5</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105</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PLFCO07</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szkół i placówek systemy oświaty objętych wsparciem</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podmioty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51</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PLFCO06</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przedstawicieli kadry szkół i placówek systemu oświaty objętych wsparciem</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100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231</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PLFCO12</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ogólnodostępnych szkół i placówek systemu oświaty objętych wsparciem w zakresie edukacji włączającej</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7</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PLFCO03</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uczniów szkół i placówek sytemu oświaty prowadzących kształcenie ogólne objętych wsparciem</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104</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2 093</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PLFCO05</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uczniów szkół i placówek kształcenia zawodowego uczestniczących w stażach uczniowskich</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21</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429</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PLFCO04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uczniów i słuchaczy szkół i placówek kształcenia zawodowego objętych wsparciem</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91</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1 829</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PLRO145</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Powierzchnia przygotowanych terenów inwestycyjnych</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ha</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18,73</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88,73</w:t>
            </w:r>
          </w:p>
        </w:tc>
      </w:tr>
      <w:tr>
        <w:trPr>
          <w:trHeight w:val="300"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RCO075</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RCO074</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2 428</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48 552</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RCO077</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obiektów kulturalnych i turystycznych objętych wsparciem</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7</w:t>
            </w:r>
          </w:p>
        </w:tc>
      </w:tr>
      <w:tr>
        <w:trPr>
          <w:trHeight w:val="495" w:hRule="atLeast"/>
        </w:trPr>
        <w:tc>
          <w:tcPr>
            <w:tcW w:w="1143"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83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76"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RCO077</w:t>
            </w:r>
          </w:p>
        </w:tc>
        <w:tc>
          <w:tcPr>
            <w:tcW w:w="26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obiektów kulturalnych i turystycznych objętych wsparciem</w:t>
            </w:r>
          </w:p>
        </w:tc>
        <w:tc>
          <w:tcPr>
            <w:tcW w:w="147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108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0</w:t>
            </w:r>
          </w:p>
        </w:tc>
        <w:tc>
          <w:tcPr>
            <w:tcW w:w="98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w:t>
            </w:r>
          </w:p>
        </w:tc>
      </w:tr>
    </w:tbl>
    <w:p>
      <w:pPr>
        <w:pStyle w:val="Normal"/>
        <w:rPr/>
      </w:pPr>
      <w:r>
        <w:rPr/>
      </w:r>
    </w:p>
    <w:p>
      <w:pPr>
        <w:pStyle w:val="Normal"/>
        <w:rPr>
          <w:b/>
          <w:bCs/>
        </w:rPr>
      </w:pPr>
      <w:bookmarkStart w:id="141" w:name="_Hlk134097852"/>
      <w:r>
        <w:rPr>
          <w:b/>
          <w:bCs/>
        </w:rPr>
        <w:t>Tabela 16. Wskaźniki rezultatu</w:t>
      </w:r>
      <w:bookmarkEnd w:id="141"/>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128"/>
        <w:gridCol w:w="852"/>
        <w:gridCol w:w="849"/>
        <w:gridCol w:w="2694"/>
        <w:gridCol w:w="1560"/>
        <w:gridCol w:w="992"/>
        <w:gridCol w:w="991"/>
      </w:tblGrid>
      <w:tr>
        <w:trPr/>
        <w:tc>
          <w:tcPr>
            <w:tcW w:w="1128" w:type="dxa"/>
            <w:tcBorders/>
            <w:shd w:color="auto" w:fill="76B4F3" w:val="clear"/>
          </w:tcPr>
          <w:p>
            <w:pPr>
              <w:pStyle w:val="Normal"/>
              <w:widowControl/>
              <w:spacing w:lineRule="auto" w:line="240"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lineRule="auto" w:line="240"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t>Cel szczegółowy</w:t>
            </w:r>
          </w:p>
          <w:p>
            <w:pPr>
              <w:pStyle w:val="Normal"/>
              <w:widowControl/>
              <w:spacing w:before="0" w:after="160"/>
              <w:jc w:val="center"/>
              <w:rPr>
                <w:rFonts w:ascii="Calibri" w:hAnsi="Calibri" w:cs=""/>
                <w:kern w:val="0"/>
                <w:sz w:val="22"/>
                <w:szCs w:val="22"/>
                <w:lang w:val="pl-PL" w:eastAsia="en-US" w:bidi="ar-SA"/>
              </w:rPr>
            </w:pPr>
            <w:r>
              <w:rPr>
                <w:rFonts w:cs=""/>
                <w:kern w:val="0"/>
                <w:sz w:val="22"/>
                <w:szCs w:val="22"/>
                <w:lang w:val="pl-PL" w:eastAsia="en-US" w:bidi="ar-SA"/>
              </w:rPr>
            </w:r>
          </w:p>
        </w:tc>
        <w:tc>
          <w:tcPr>
            <w:tcW w:w="852"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kern w:val="0"/>
                <w:lang w:val="pl-PL" w:bidi="ar-SA"/>
              </w:rPr>
            </w:pPr>
            <w:r>
              <w:rPr>
                <w:rFonts w:eastAsia="Times New Roman" w:cs="Calibri"/>
                <w:b/>
                <w:bCs/>
                <w:color w:val="000000"/>
                <w:kern w:val="0"/>
                <w:sz w:val="18"/>
                <w:szCs w:val="18"/>
                <w:lang w:val="pl-PL" w:eastAsia="pl-PL" w:bidi="ar-SA"/>
              </w:rPr>
              <w:t>Fundusz</w:t>
            </w:r>
          </w:p>
        </w:tc>
        <w:tc>
          <w:tcPr>
            <w:tcW w:w="849"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kern w:val="0"/>
                <w:lang w:val="pl-PL" w:bidi="ar-SA"/>
              </w:rPr>
            </w:pPr>
            <w:r>
              <w:rPr>
                <w:rFonts w:eastAsia="Times New Roman" w:cs="Calibri"/>
                <w:b/>
                <w:bCs/>
                <w:color w:val="000000"/>
                <w:kern w:val="0"/>
                <w:sz w:val="18"/>
                <w:szCs w:val="18"/>
                <w:lang w:val="pl-PL" w:eastAsia="pl-PL" w:bidi="ar-SA"/>
              </w:rPr>
              <w:t>Numer</w:t>
            </w:r>
          </w:p>
        </w:tc>
        <w:tc>
          <w:tcPr>
            <w:tcW w:w="2694" w:type="dxa"/>
            <w:tcBorders/>
            <w:shd w:color="auto" w:fill="76B4F3" w:val="clear"/>
          </w:tcPr>
          <w:p>
            <w:pPr>
              <w:pStyle w:val="Normal"/>
              <w:widowControl/>
              <w:spacing w:before="0" w:after="16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160"/>
              <w:jc w:val="center"/>
              <w:rPr>
                <w:kern w:val="0"/>
                <w:lang w:val="pl-PL" w:bidi="ar-SA"/>
              </w:rPr>
            </w:pPr>
            <w:r>
              <w:rPr>
                <w:rFonts w:eastAsia="Times New Roman" w:cs="Calibri"/>
                <w:b/>
                <w:bCs/>
                <w:color w:val="000000"/>
                <w:kern w:val="0"/>
                <w:sz w:val="18"/>
                <w:szCs w:val="18"/>
                <w:lang w:val="pl-PL" w:eastAsia="pl-PL" w:bidi="ar-SA"/>
              </w:rPr>
              <w:t>Wskaźnik</w:t>
            </w:r>
          </w:p>
        </w:tc>
        <w:tc>
          <w:tcPr>
            <w:tcW w:w="1560" w:type="dxa"/>
            <w:tcBorders/>
            <w:shd w:color="auto" w:fill="76B4F3" w:val="clear"/>
          </w:tcPr>
          <w:p>
            <w:pPr>
              <w:pStyle w:val="Normal"/>
              <w:widowControl/>
              <w:spacing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0"/>
              <w:jc w:val="center"/>
              <w:rPr>
                <w:kern w:val="0"/>
                <w:lang w:val="pl-PL" w:bidi="ar-SA"/>
              </w:rPr>
            </w:pPr>
            <w:r>
              <w:rPr>
                <w:rFonts w:eastAsia="Times New Roman" w:cs="Calibri"/>
                <w:b/>
                <w:bCs/>
                <w:color w:val="000000"/>
                <w:kern w:val="0"/>
                <w:sz w:val="18"/>
                <w:szCs w:val="18"/>
                <w:lang w:val="pl-PL" w:eastAsia="pl-PL" w:bidi="ar-SA"/>
              </w:rPr>
              <w:t>Jednostka miary</w:t>
            </w:r>
          </w:p>
        </w:tc>
        <w:tc>
          <w:tcPr>
            <w:tcW w:w="992" w:type="dxa"/>
            <w:tcBorders/>
            <w:shd w:color="auto" w:fill="76B4F3" w:val="clear"/>
          </w:tcPr>
          <w:p>
            <w:pPr>
              <w:pStyle w:val="Normal"/>
              <w:widowControl/>
              <w:spacing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t>Cel pośredni (2024)</w:t>
            </w:r>
          </w:p>
        </w:tc>
        <w:tc>
          <w:tcPr>
            <w:tcW w:w="991" w:type="dxa"/>
            <w:tcBorders/>
            <w:shd w:color="auto" w:fill="76B4F3" w:val="clear"/>
          </w:tcPr>
          <w:p>
            <w:pPr>
              <w:pStyle w:val="Normal"/>
              <w:widowControl/>
              <w:spacing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r>
          </w:p>
          <w:p>
            <w:pPr>
              <w:pStyle w:val="Normal"/>
              <w:widowControl/>
              <w:spacing w:before="0" w:after="0"/>
              <w:jc w:val="center"/>
              <w:rPr>
                <w:rFonts w:ascii="Calibri" w:hAnsi="Calibri" w:eastAsia="Times New Roman" w:cs="Calibri"/>
                <w:b/>
                <w:bCs/>
                <w:color w:val="000000"/>
                <w:sz w:val="18"/>
                <w:szCs w:val="18"/>
                <w:lang w:eastAsia="pl-PL"/>
              </w:rPr>
            </w:pPr>
            <w:r>
              <w:rPr>
                <w:rFonts w:eastAsia="Times New Roman" w:cs="Calibri"/>
                <w:b/>
                <w:bCs/>
                <w:color w:val="000000"/>
                <w:kern w:val="0"/>
                <w:sz w:val="18"/>
                <w:szCs w:val="18"/>
                <w:lang w:val="pl-PL" w:eastAsia="pl-PL" w:bidi="ar-SA"/>
              </w:rPr>
              <w:t>Cel końcowy</w:t>
            </w:r>
          </w:p>
          <w:p>
            <w:pPr>
              <w:pStyle w:val="Normal"/>
              <w:widowControl/>
              <w:spacing w:before="0" w:after="0"/>
              <w:jc w:val="center"/>
              <w:rPr>
                <w:kern w:val="0"/>
                <w:lang w:val="pl-PL" w:bidi="ar-SA"/>
              </w:rPr>
            </w:pPr>
            <w:r>
              <w:rPr>
                <w:rFonts w:eastAsia="Times New Roman" w:cs="Calibri"/>
                <w:b/>
                <w:bCs/>
                <w:color w:val="000000"/>
                <w:kern w:val="0"/>
                <w:sz w:val="18"/>
                <w:szCs w:val="18"/>
                <w:lang w:val="pl-PL" w:eastAsia="pl-PL" w:bidi="ar-SA"/>
              </w:rPr>
              <w:t>(2029)</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RCR029</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Szacowana emisja gazów cieplarnianych*</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tony równoważnika CO2/rok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2 697</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RCR026</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Roczne zużycie energii pierwotnej (w tym: w lokalach mieszkalnych, budynkach publicznych, przedsiębiorstwach, innych)*</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MWh/rok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9 338</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RCR026</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Roczne zużycie energii pierwotnej (w tym: w lokalach mieszkalnych, budynkach publicznych, przedsiębiorstwach, innych)*</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MWh/rok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4 159</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RCR029</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Szacowana emisja gazów cieplarnianych*</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tony równoważnika CO2/rok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1 388</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RCR041</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przyłączona do ulepszonych zbiorowych systemów zaopatrzenia w wodę</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517</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2(viii)</w:t>
            </w:r>
          </w:p>
        </w:tc>
        <w:tc>
          <w:tcPr>
            <w:tcW w:w="85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RCR029</w:t>
            </w:r>
          </w:p>
        </w:tc>
        <w:tc>
          <w:tcPr>
            <w:tcW w:w="2694"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Szacowana emisja gazów cieplarnianych</w:t>
            </w:r>
          </w:p>
        </w:tc>
        <w:tc>
          <w:tcPr>
            <w:tcW w:w="1560"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tony równoważnika CO2/rok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2(viii)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RCR064</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Roczna liczba użytkowników infrastruktury rowerowej</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użytkownicy/</w:t>
            </w:r>
          </w:p>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825 538</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4(ii)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RCR070</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Roczna liczba użytkowników nowych lub zmodernizowanych placówek opieki nad dziećmi</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użytkownicy/</w:t>
            </w:r>
          </w:p>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309</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4(ii)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RCR071</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Roczna liczba użytkowników nowych lub zmodernizowanych placówek oświatowych</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użytkownicy/</w:t>
            </w:r>
          </w:p>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80</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4(v)</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RCR073</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Roczna liczba użytkowników nowych lub zmodernizowanych placówek opieki zdrowotnej</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użytkownicy/</w:t>
            </w:r>
          </w:p>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1 800</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PLEFCR03</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uczniów szkół i placówek kształcenia zawodowego objętych wsparciem w postaci staży uczniowskich, uczestniczących w kształceniu lub pracujących 6 miesięcy od ukończenia nauki</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Badanie ewaluacyjne lub dane administracyjne</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343</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PLFCR01</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uczniów, którzy nabyli kwalifikacje po opuszczeniu programu</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2 196</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PLFCR05</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szkół i placówek systemu oświaty, w których dzięki wsparciu EFS+ świadczone są usługi asystenckie 6 miesięcy po zakończeniu projektu</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podmioty</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Badania ewaluacyjne lub dane administracyjne</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4(f)</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EFS</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PLFCR04</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miejsc wychowania przedszkolnego, które funkcjonują przez co najmniej 24 miesiące po zakończeniu projektu</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Szt.</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Badanie ewaluacyjne lub dane administracyjne</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100</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RCR077</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osób odwiedzających obiekty kulturalne i turystyczne objęte wsparciem</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 odwiedzające/rok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43 249</w:t>
            </w:r>
          </w:p>
        </w:tc>
      </w:tr>
      <w:tr>
        <w:trPr>
          <w:trHeight w:val="495" w:hRule="atLeast"/>
        </w:trPr>
        <w:tc>
          <w:tcPr>
            <w:tcW w:w="1128"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852"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849"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RCR077</w:t>
            </w:r>
          </w:p>
        </w:tc>
        <w:tc>
          <w:tcPr>
            <w:tcW w:w="2694"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osób odwiedzających obiekty kulturalne i turystyczne objęte wsparciem</w:t>
            </w:r>
          </w:p>
        </w:tc>
        <w:tc>
          <w:tcPr>
            <w:tcW w:w="1560" w:type="dxa"/>
            <w:tcBorders/>
          </w:tcPr>
          <w:p>
            <w:pPr>
              <w:pStyle w:val="Normal"/>
              <w:widowControl/>
              <w:spacing w:lineRule="auto" w:line="240"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osoby odwiedzające/rok</w:t>
            </w:r>
          </w:p>
        </w:tc>
        <w:tc>
          <w:tcPr>
            <w:tcW w:w="992"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CST2021</w:t>
            </w:r>
          </w:p>
        </w:tc>
        <w:tc>
          <w:tcPr>
            <w:tcW w:w="991" w:type="dxa"/>
            <w:tcBorders/>
          </w:tcPr>
          <w:p>
            <w:pPr>
              <w:pStyle w:val="Normal"/>
              <w:widowControl/>
              <w:spacing w:lineRule="auto" w:line="240" w:before="0" w:after="0"/>
              <w:jc w:val="center"/>
              <w:rPr>
                <w:rFonts w:ascii="Calibri" w:hAnsi="Calibri" w:eastAsia="Times New Roman" w:cs="Calibri"/>
                <w:color w:val="000000" w:themeColor="text1"/>
                <w:sz w:val="18"/>
                <w:szCs w:val="18"/>
                <w:lang w:eastAsia="pl-PL"/>
              </w:rPr>
            </w:pPr>
            <w:r>
              <w:rPr>
                <w:rFonts w:eastAsia="Times New Roman" w:cs="Calibri"/>
                <w:color w:val="000000" w:themeColor="text1"/>
                <w:kern w:val="0"/>
                <w:sz w:val="18"/>
                <w:szCs w:val="18"/>
                <w:lang w:val="pl-PL" w:eastAsia="pl-PL" w:bidi="ar-SA"/>
              </w:rPr>
              <w:t>4 638</w:t>
            </w:r>
          </w:p>
        </w:tc>
      </w:tr>
    </w:tbl>
    <w:p>
      <w:pPr>
        <w:pStyle w:val="Normal"/>
        <w:tabs>
          <w:tab w:val="clear" w:pos="680"/>
          <w:tab w:val="left" w:pos="1640" w:leader="none"/>
        </w:tabs>
        <w:rPr>
          <w:rFonts w:ascii="Calibri" w:hAnsi="Calibri" w:eastAsia="Times New Roman" w:cs="Calibri"/>
          <w:lang w:eastAsia="pl-PL"/>
        </w:rPr>
      </w:pPr>
      <w:r>
        <w:rPr>
          <w:rFonts w:eastAsia="Times New Roman" w:cs="Calibri"/>
          <w:lang w:eastAsia="pl-PL"/>
        </w:rPr>
        <w:tab/>
      </w:r>
    </w:p>
    <w:p>
      <w:pPr>
        <w:pStyle w:val="Normal"/>
        <w:rPr>
          <w:rFonts w:ascii="Calibri" w:hAnsi="Calibri" w:eastAsia="Times New Roman" w:cs="Calibri"/>
          <w:lang w:eastAsia="pl-PL"/>
        </w:rPr>
      </w:pPr>
      <w:r>
        <w:rPr>
          <w:rFonts w:eastAsia="Times New Roman" w:cs="Calibri"/>
          <w:lang w:eastAsia="pl-PL"/>
        </w:rPr>
      </w:r>
    </w:p>
    <w:p>
      <w:pPr>
        <w:pStyle w:val="Normal"/>
        <w:rPr>
          <w:rFonts w:ascii="Calibri" w:hAnsi="Calibri" w:eastAsia="Times New Roman" w:cs="Calibri"/>
          <w:lang w:eastAsia="pl-PL"/>
        </w:rPr>
      </w:pPr>
      <w:r>
        <w:rPr>
          <w:rFonts w:eastAsia="Times New Roman" w:cs="Calibri"/>
          <w:lang w:eastAsia="pl-PL"/>
        </w:rPr>
      </w:r>
    </w:p>
    <w:p>
      <w:pPr>
        <w:sectPr>
          <w:headerReference w:type="default" r:id="rId27"/>
          <w:headerReference w:type="first" r:id="rId28"/>
          <w:footerReference w:type="default" r:id="rId29"/>
          <w:footerReference w:type="first" r:id="rId30"/>
          <w:footnotePr>
            <w:numFmt w:val="decimal"/>
          </w:footnotePr>
          <w:type w:val="nextPage"/>
          <w:pgSz w:w="11906" w:h="16838"/>
          <w:pgMar w:left="1418" w:right="1418" w:gutter="0" w:header="284" w:top="1559" w:footer="227" w:bottom="1134"/>
          <w:pgNumType w:fmt="decimal"/>
          <w:formProt w:val="false"/>
          <w:titlePg/>
          <w:textDirection w:val="lrTb"/>
          <w:docGrid w:type="default" w:linePitch="312" w:charSpace="4294965247"/>
        </w:sectPr>
      </w:pPr>
    </w:p>
    <w:p>
      <w:pPr>
        <w:pStyle w:val="Nagwek1"/>
        <w:numPr>
          <w:ilvl w:val="0"/>
          <w:numId w:val="50"/>
        </w:numPr>
        <w:rPr/>
      </w:pPr>
      <w:bookmarkStart w:id="142" w:name="_Hlk134097871"/>
      <w:bookmarkStart w:id="143" w:name="_Toc143161926"/>
      <w:r>
        <w:rPr/>
        <w:t xml:space="preserve">Wskazanie zgodności planowanej interwencji z dokumentami programowymi (funduszami), do których zamierza </w:t>
        <w:br/>
        <w:t>się aplikować o finansowanie wsparcia</w:t>
      </w:r>
      <w:bookmarkEnd w:id="143"/>
      <w:r>
        <w:rPr/>
        <w:t xml:space="preserve"> </w:t>
      </w:r>
      <w:bookmarkEnd w:id="142"/>
    </w:p>
    <w:p>
      <w:pPr>
        <w:pStyle w:val="Normal"/>
        <w:spacing w:lineRule="auto" w:line="276"/>
        <w:jc w:val="both"/>
        <w:rPr/>
      </w:pPr>
      <w:r>
        <w:rPr/>
        <w:t xml:space="preserve">Niniejsza Strategia Terytorialna realizowana będzie w zgodności z przyjętym Programem </w:t>
      </w:r>
      <w:r>
        <w:rPr>
          <w:i/>
        </w:rPr>
        <w:t>Fundusze Europejskie dla Kujaw i Pomorza (FEdKP) 2021-2027</w:t>
      </w:r>
      <w:r>
        <w:rPr/>
        <w:t xml:space="preserve">. Program ten umożliwia ubieganie się o wsparcie na realizację projektów w ramach instrumentów terytorialnych takich jak m.in. ZIT, czy IIT. </w:t>
        <w:br/>
        <w:t xml:space="preserve">W województwie kujawsko-pomorskim tymi instrumentami objęte są konkretne obszary (tzw. obszary prowadzenia polityki terytorialnej), które wyznaczone zostały w </w:t>
      </w:r>
      <w:r>
        <w:rPr>
          <w:i/>
        </w:rPr>
        <w:t>Strategii Rozwoju Województwa Kujawsko-Pomorskiego do roku 2030 – Strategia Przyspieszenia 2030+.</w:t>
      </w:r>
      <w:r>
        <w:rPr/>
        <w:t xml:space="preserve"> We wspomnianym programie FEdKP zapisano, iż to strategie ZIT/IIT będą określały kierunki wsparcia i projekty dostosowane do specyfiki danego obszaru, zgodnie z przyjętymi założeniami rozwojowymi dla poszczególnych poziomów Polityki Terytorialnej Województwa Kujawsko-Pomorskiego. Niniejsza Strategia określa zatem listę projektów odpowiadających na problemy oraz potrzeby obszaru MOF Włocławka, które wynikają z zakresu wsparcia w ramach Celów Polityki: CP1, CP2, CP4, CP5 scharakteryzowanego </w:t>
        <w:br/>
        <w:t xml:space="preserve">w programie FEdKP. Wszystkie projekty wskazane do realizacji w ramach niniejszej Strategii, </w:t>
        <w:br/>
        <w:t xml:space="preserve">dla których planowane jest finansowanie ze środków programu FEdKP 2021-2027, wykazują pełną zgodność z zapisami tego programu. </w:t>
      </w:r>
    </w:p>
    <w:p>
      <w:pPr>
        <w:pStyle w:val="TytuMAPiTABEL"/>
        <w:rPr/>
      </w:pPr>
      <w:r>
        <w:rPr/>
        <w:t>Tabela 17. Wykazanie zgodności planowanej interwencji z celami i priorytetami określonymi w programie FEdKP 2021-2027</w:t>
      </w:r>
    </w:p>
    <w:tbl>
      <w:tblPr>
        <w:tblStyle w:val="Tabela-Siatka"/>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2339"/>
        <w:gridCol w:w="1774"/>
        <w:gridCol w:w="2537"/>
        <w:gridCol w:w="2419"/>
      </w:tblGrid>
      <w:tr>
        <w:trPr/>
        <w:tc>
          <w:tcPr>
            <w:tcW w:w="2339" w:type="dxa"/>
            <w:tcBorders/>
            <w:shd w:color="auto" w:fill="76B4F3" w:val="clear"/>
            <w:vAlign w:val="center"/>
          </w:tcPr>
          <w:p>
            <w:pPr>
              <w:pStyle w:val="Normal"/>
              <w:widowControl/>
              <w:spacing w:before="0" w:after="160"/>
              <w:jc w:val="center"/>
              <w:rPr>
                <w:b/>
              </w:rPr>
            </w:pPr>
            <w:bookmarkStart w:id="144" w:name="_Hlk136850161"/>
            <w:bookmarkStart w:id="145" w:name="_Hlk136955134"/>
            <w:r>
              <w:rPr>
                <w:rFonts w:cs=""/>
                <w:b/>
                <w:kern w:val="0"/>
                <w:sz w:val="22"/>
                <w:szCs w:val="22"/>
                <w:lang w:val="pl-PL" w:eastAsia="en-US" w:bidi="ar-SA"/>
              </w:rPr>
              <w:t>Cel Polityki</w:t>
            </w:r>
          </w:p>
        </w:tc>
        <w:tc>
          <w:tcPr>
            <w:tcW w:w="1774" w:type="dxa"/>
            <w:tcBorders/>
            <w:shd w:color="auto" w:fill="76B4F3" w:val="clear"/>
            <w:vAlign w:val="center"/>
          </w:tcPr>
          <w:p>
            <w:pPr>
              <w:pStyle w:val="Normal"/>
              <w:widowControl/>
              <w:spacing w:before="0" w:after="160"/>
              <w:jc w:val="center"/>
              <w:rPr>
                <w:b/>
              </w:rPr>
            </w:pPr>
            <w:r>
              <w:rPr>
                <w:rFonts w:cs=""/>
                <w:b/>
                <w:kern w:val="0"/>
                <w:sz w:val="22"/>
                <w:szCs w:val="22"/>
                <w:lang w:val="pl-PL" w:eastAsia="en-US" w:bidi="ar-SA"/>
              </w:rPr>
              <w:t>Priorytet</w:t>
            </w:r>
          </w:p>
        </w:tc>
        <w:tc>
          <w:tcPr>
            <w:tcW w:w="2537" w:type="dxa"/>
            <w:tcBorders/>
            <w:shd w:color="auto" w:fill="76B4F3" w:val="clear"/>
            <w:vAlign w:val="center"/>
          </w:tcPr>
          <w:p>
            <w:pPr>
              <w:pStyle w:val="Normal"/>
              <w:widowControl/>
              <w:spacing w:before="0" w:after="160"/>
              <w:jc w:val="center"/>
              <w:rPr>
                <w:b/>
              </w:rPr>
            </w:pPr>
            <w:r>
              <w:rPr>
                <w:rFonts w:cs=""/>
                <w:b/>
                <w:kern w:val="0"/>
                <w:sz w:val="22"/>
                <w:szCs w:val="22"/>
                <w:lang w:val="pl-PL" w:eastAsia="en-US" w:bidi="ar-SA"/>
              </w:rPr>
              <w:t>Cel szczegółowy</w:t>
            </w:r>
          </w:p>
        </w:tc>
        <w:tc>
          <w:tcPr>
            <w:tcW w:w="2419" w:type="dxa"/>
            <w:tcBorders/>
            <w:shd w:color="auto" w:fill="76B4F3" w:val="clear"/>
            <w:vAlign w:val="center"/>
          </w:tcPr>
          <w:p>
            <w:pPr>
              <w:pStyle w:val="Normal"/>
              <w:widowControl/>
              <w:spacing w:before="0" w:after="160"/>
              <w:jc w:val="center"/>
              <w:rPr>
                <w:b/>
              </w:rPr>
            </w:pPr>
            <w:bookmarkStart w:id="146" w:name="_Hlk136955134"/>
            <w:r>
              <w:rPr>
                <w:rFonts w:cs=""/>
                <w:b/>
                <w:kern w:val="0"/>
                <w:sz w:val="22"/>
                <w:szCs w:val="22"/>
                <w:lang w:val="pl-PL" w:eastAsia="en-US" w:bidi="ar-SA"/>
              </w:rPr>
              <w:t>Nazwy projektów zgodnych z zakresem wsparcia w ramach celów i priorytetów</w:t>
            </w:r>
            <w:bookmarkEnd w:id="146"/>
          </w:p>
        </w:tc>
      </w:tr>
      <w:tr>
        <w:trPr/>
        <w:tc>
          <w:tcPr>
            <w:tcW w:w="2339" w:type="dxa"/>
            <w:tcBorders/>
          </w:tcPr>
          <w:p>
            <w:pPr>
              <w:pStyle w:val="Normal"/>
              <w:widowControl/>
              <w:spacing w:before="0" w:after="160"/>
              <w:jc w:val="left"/>
              <w:rPr>
                <w:rFonts w:ascii="Calibri" w:hAnsi="Calibri" w:cs=""/>
                <w:kern w:val="0"/>
                <w:sz w:val="22"/>
                <w:szCs w:val="22"/>
                <w:lang w:val="pl-PL" w:eastAsia="en-US" w:bidi="ar-SA"/>
              </w:rPr>
            </w:pPr>
            <w:r>
              <w:rPr>
                <w:rFonts w:cs=""/>
                <w:b/>
                <w:kern w:val="0"/>
                <w:sz w:val="22"/>
                <w:szCs w:val="22"/>
                <w:lang w:val="pl-PL" w:eastAsia="en-US" w:bidi="ar-SA"/>
              </w:rPr>
              <w:t>Cel Polityki 1.</w:t>
            </w:r>
            <w:r>
              <w:rPr>
                <w:rFonts w:cs=""/>
                <w:kern w:val="0"/>
                <w:sz w:val="22"/>
                <w:szCs w:val="22"/>
                <w:lang w:val="pl-PL" w:eastAsia="en-US" w:bidi="ar-SA"/>
              </w:rPr>
              <w:t xml:space="preserve"> Bardziej konkurencyjna i inteligentna Europa dzięki wspieraniu innowacyjnej i inteligentnej transformacji gospodarczej oraz regionalnej łączności cyfrowej</w:t>
            </w:r>
          </w:p>
        </w:tc>
        <w:tc>
          <w:tcPr>
            <w:tcW w:w="1774" w:type="dxa"/>
            <w:tcBorders/>
          </w:tcPr>
          <w:p>
            <w:pPr>
              <w:pStyle w:val="Normal"/>
              <w:widowControl/>
              <w:spacing w:before="0" w:after="0"/>
              <w:jc w:val="left"/>
              <w:rPr>
                <w:b/>
              </w:rPr>
            </w:pPr>
            <w:r>
              <w:rPr>
                <w:rFonts w:cs=""/>
                <w:b/>
                <w:kern w:val="0"/>
                <w:sz w:val="22"/>
                <w:szCs w:val="22"/>
                <w:lang w:val="pl-PL" w:eastAsia="en-US" w:bidi="ar-SA"/>
              </w:rPr>
              <w:t>Priorytet 1</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Fundusze Europejskie na rzecz wzrostu innowacyjności i konkurencyjności regionu</w:t>
            </w:r>
          </w:p>
        </w:tc>
        <w:tc>
          <w:tcPr>
            <w:tcW w:w="2537" w:type="dxa"/>
            <w:tcBorders/>
          </w:tcPr>
          <w:p>
            <w:pPr>
              <w:pStyle w:val="Normal"/>
              <w:widowControl/>
              <w:spacing w:before="0" w:after="0"/>
              <w:jc w:val="left"/>
              <w:rPr>
                <w:b/>
                <w:bCs/>
              </w:rPr>
            </w:pPr>
            <w:r>
              <w:rPr>
                <w:rFonts w:cs=""/>
                <w:b/>
                <w:bCs/>
                <w:kern w:val="0"/>
                <w:sz w:val="22"/>
                <w:szCs w:val="22"/>
                <w:lang w:val="pl-PL" w:eastAsia="en-US" w:bidi="ar-SA"/>
              </w:rPr>
              <w:t xml:space="preserve">1(iii) </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Wzmacnianie trwałego wzrostu konkurencyjności MŚP oraz tworzenie miejsc pracy w MŚP, w tym poprzez inwestycje produkcyjne</w:t>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ZIT-WL-1</w:t>
            </w:r>
            <w:r>
              <w:rPr>
                <w:rFonts w:cs=""/>
                <w:kern w:val="0"/>
                <w:sz w:val="22"/>
                <w:szCs w:val="22"/>
                <w:lang w:val="pl-PL" w:eastAsia="en-US" w:bidi="ar-SA"/>
              </w:rPr>
              <w:t xml:space="preserve"> Sieć Włocławskiego Centrum Biznesu – Gmina Brześć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w:t>
            </w:r>
            <w:r>
              <w:rPr>
                <w:rFonts w:cs=""/>
                <w:kern w:val="0"/>
                <w:sz w:val="22"/>
                <w:szCs w:val="22"/>
                <w:lang w:val="pl-PL" w:eastAsia="en-US" w:bidi="ar-SA"/>
              </w:rPr>
              <w:t xml:space="preserve"> Sieć Włocławskiego Centrum Biznesu – Gmina Lubraniec</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w:t>
            </w:r>
            <w:r>
              <w:rPr>
                <w:rFonts w:cs=""/>
                <w:kern w:val="0"/>
                <w:sz w:val="22"/>
                <w:szCs w:val="22"/>
                <w:lang w:val="pl-PL" w:eastAsia="en-US" w:bidi="ar-SA"/>
              </w:rPr>
              <w:t xml:space="preserve"> Sieć Włocławskiego Centrum Biznesu – Gmina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w:t>
            </w:r>
            <w:r>
              <w:rPr>
                <w:rFonts w:cs=""/>
                <w:kern w:val="0"/>
                <w:sz w:val="22"/>
                <w:szCs w:val="22"/>
                <w:lang w:val="pl-PL" w:eastAsia="en-US" w:bidi="ar-SA"/>
              </w:rPr>
              <w:t xml:space="preserve"> Sieć Włocławskiego Centrum Biznesu – Gmina Lubanie</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w:t>
            </w:r>
            <w:r>
              <w:rPr>
                <w:rFonts w:cs=""/>
                <w:kern w:val="0"/>
                <w:sz w:val="22"/>
                <w:szCs w:val="22"/>
                <w:lang w:val="pl-PL" w:eastAsia="en-US" w:bidi="ar-SA"/>
              </w:rPr>
              <w:t xml:space="preserve"> Sieć Włocławskiego Centrum Biznesu – Gmina Baruchowo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w:t>
            </w:r>
            <w:r>
              <w:rPr>
                <w:rFonts w:cs=""/>
                <w:kern w:val="0"/>
                <w:sz w:val="22"/>
                <w:szCs w:val="22"/>
                <w:lang w:val="pl-PL" w:eastAsia="en-US" w:bidi="ar-SA"/>
              </w:rPr>
              <w:t xml:space="preserve"> Sieć Włocławskiego Centrum Biznesu- Gmina Lubień Kujawski</w:t>
            </w:r>
          </w:p>
          <w:p>
            <w:pPr>
              <w:pStyle w:val="Normal"/>
              <w:widowControl/>
              <w:spacing w:lineRule="auto" w:line="240" w:before="0" w:after="160"/>
              <w:jc w:val="left"/>
              <w:rPr>
                <w:rFonts w:ascii="Calibri" w:hAnsi="Calibri" w:cs=""/>
                <w:kern w:val="0"/>
                <w:sz w:val="22"/>
                <w:lang w:val="pl-PL" w:eastAsia="en-US" w:bidi="ar-SA"/>
              </w:rPr>
            </w:pPr>
            <w:r>
              <w:rPr>
                <w:rFonts w:cs=""/>
                <w:b/>
                <w:bCs/>
                <w:kern w:val="0"/>
                <w:sz w:val="22"/>
                <w:szCs w:val="22"/>
                <w:lang w:val="pl-PL" w:eastAsia="en-US" w:bidi="ar-SA"/>
              </w:rPr>
              <w:t>ZIT-WL-7</w:t>
            </w:r>
            <w:r>
              <w:rPr>
                <w:rFonts w:cs=""/>
                <w:kern w:val="0"/>
                <w:sz w:val="22"/>
                <w:szCs w:val="22"/>
                <w:lang w:val="pl-PL" w:eastAsia="en-US" w:bidi="ar-SA"/>
              </w:rPr>
              <w:t xml:space="preserve"> </w:t>
            </w:r>
            <w:r>
              <w:rPr>
                <w:rFonts w:cs=""/>
                <w:kern w:val="0"/>
                <w:sz w:val="22"/>
                <w:szCs w:val="24"/>
                <w:lang w:val="pl-PL" w:eastAsia="en-US" w:bidi="ar-SA"/>
              </w:rPr>
              <w:t>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w:t>
            </w:r>
            <w:bookmarkEnd w:id="144"/>
          </w:p>
        </w:tc>
      </w:tr>
      <w:tr>
        <w:trPr/>
        <w:tc>
          <w:tcPr>
            <w:tcW w:w="2339" w:type="dxa"/>
            <w:vMerge w:val="restart"/>
            <w:tcBorders/>
          </w:tcPr>
          <w:p>
            <w:pPr>
              <w:pStyle w:val="Normal"/>
              <w:widowControl/>
              <w:spacing w:before="0" w:after="160"/>
              <w:jc w:val="left"/>
              <w:rPr>
                <w:rFonts w:ascii="Calibri" w:hAnsi="Calibri" w:cs=""/>
                <w:kern w:val="0"/>
                <w:sz w:val="22"/>
                <w:szCs w:val="22"/>
                <w:lang w:val="pl-PL" w:eastAsia="en-US" w:bidi="ar-SA"/>
              </w:rPr>
            </w:pPr>
            <w:r>
              <w:rPr>
                <w:rFonts w:cs=""/>
                <w:b/>
                <w:kern w:val="0"/>
                <w:sz w:val="22"/>
                <w:szCs w:val="22"/>
                <w:lang w:val="pl-PL" w:eastAsia="en-US" w:bidi="ar-SA"/>
              </w:rPr>
              <w:t>Cel Polityki 2</w:t>
            </w:r>
            <w:r>
              <w:rPr>
                <w:rFonts w:cs=""/>
                <w:kern w:val="0"/>
                <w:sz w:val="22"/>
                <w:szCs w:val="22"/>
                <w:lang w:val="pl-PL" w:eastAsia="en-US" w:bidi="ar-SA"/>
              </w:rPr>
              <w:t>.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1774" w:type="dxa"/>
            <w:tcBorders/>
          </w:tcPr>
          <w:p>
            <w:pPr>
              <w:pStyle w:val="Normal"/>
              <w:widowControl/>
              <w:spacing w:before="0" w:after="0"/>
              <w:jc w:val="left"/>
              <w:rPr>
                <w:b/>
              </w:rPr>
            </w:pPr>
            <w:r>
              <w:rPr>
                <w:rFonts w:cs=""/>
                <w:b/>
                <w:kern w:val="0"/>
                <w:sz w:val="22"/>
                <w:szCs w:val="22"/>
                <w:lang w:val="pl-PL" w:eastAsia="en-US" w:bidi="ar-SA"/>
              </w:rPr>
              <w:t>Priorytet 2</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Fundusze Europejskie dla czystej energii i ochrony zasobów środowiska regionu</w:t>
            </w:r>
          </w:p>
        </w:tc>
        <w:tc>
          <w:tcPr>
            <w:tcW w:w="2537" w:type="dxa"/>
            <w:tcBorders/>
          </w:tcPr>
          <w:p>
            <w:pPr>
              <w:pStyle w:val="Normal"/>
              <w:widowControl/>
              <w:spacing w:before="0" w:after="0"/>
              <w:jc w:val="left"/>
              <w:rPr>
                <w:b/>
              </w:rPr>
            </w:pPr>
            <w:r>
              <w:rPr>
                <w:rFonts w:cs=""/>
                <w:b/>
                <w:kern w:val="0"/>
                <w:sz w:val="22"/>
                <w:szCs w:val="22"/>
                <w:lang w:val="pl-PL" w:eastAsia="en-US" w:bidi="ar-SA"/>
              </w:rPr>
              <w:t xml:space="preserve">2(i) </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Wspieranie efektywności energetycznej i redukcji emisji gazów cieplarnianych</w:t>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ZIT-WL-11</w:t>
            </w:r>
            <w:r>
              <w:rPr>
                <w:rFonts w:cs=""/>
                <w:kern w:val="0"/>
                <w:sz w:val="22"/>
                <w:szCs w:val="22"/>
                <w:lang w:val="pl-PL" w:eastAsia="en-US" w:bidi="ar-SA"/>
              </w:rPr>
              <w:t xml:space="preserve"> Kompleksowa modernizacja energetyczna budynku Szkoły Podstawowej w miejscowości Więsławice – Gmina Kowal</w:t>
            </w:r>
          </w:p>
          <w:p>
            <w:pPr>
              <w:pStyle w:val="Normal"/>
              <w:widowControl/>
              <w:spacing w:before="0" w:after="0"/>
              <w:jc w:val="left"/>
              <w:rPr>
                <w:rFonts w:ascii="Calibri" w:hAnsi="Calibri" w:cs=""/>
                <w:kern w:val="0"/>
                <w:sz w:val="22"/>
                <w:szCs w:val="22"/>
                <w:lang w:val="pl-PL" w:eastAsia="en-US" w:bidi="ar-SA"/>
              </w:rPr>
            </w:pPr>
            <w:r>
              <w:rPr>
                <w:rFonts w:cs=""/>
                <w:b/>
                <w:bCs/>
                <w:kern w:val="0"/>
                <w:sz w:val="22"/>
                <w:szCs w:val="22"/>
                <w:lang w:val="pl-PL" w:eastAsia="en-US" w:bidi="ar-SA"/>
              </w:rPr>
              <w:t>ZIT-WL-12</w:t>
            </w:r>
            <w:r>
              <w:rPr>
                <w:rFonts w:cs=""/>
                <w:kern w:val="0"/>
                <w:sz w:val="22"/>
                <w:szCs w:val="22"/>
                <w:lang w:val="pl-PL" w:eastAsia="en-US" w:bidi="ar-SA"/>
              </w:rPr>
              <w:t xml:space="preserve"> Termomodernizacja budynku Zespołu Szkół im. Marii Grodzickiej w Lubrańcu Marysinie – Powiat Włocławski</w:t>
            </w:r>
          </w:p>
          <w:p>
            <w:pPr>
              <w:pStyle w:val="Normal"/>
              <w:widowControl/>
              <w:spacing w:before="0" w:after="0"/>
              <w:jc w:val="left"/>
              <w:rPr>
                <w:rFonts w:ascii="Calibri" w:hAnsi="Calibri" w:cs=""/>
                <w:kern w:val="0"/>
                <w:sz w:val="22"/>
                <w:szCs w:val="22"/>
                <w:lang w:val="pl-PL" w:eastAsia="en-US" w:bidi="ar-SA"/>
              </w:rPr>
            </w:pPr>
            <w:r>
              <w:rPr>
                <w:rFonts w:cs=""/>
                <w:b/>
                <w:bCs/>
                <w:kern w:val="0"/>
                <w:sz w:val="22"/>
                <w:szCs w:val="22"/>
                <w:lang w:val="pl-PL" w:eastAsia="en-US" w:bidi="ar-SA"/>
              </w:rPr>
              <w:t>ZIT-WL-13</w:t>
            </w:r>
            <w:r>
              <w:rPr>
                <w:rFonts w:cs=""/>
                <w:kern w:val="0"/>
                <w:sz w:val="22"/>
                <w:szCs w:val="22"/>
                <w:lang w:val="pl-PL" w:eastAsia="en-US" w:bidi="ar-SA"/>
              </w:rPr>
              <w:t xml:space="preserve"> Termomodernizacja budynków użyteczności publicznej na terenie Gminy Izbica Kujawska – Gmina Izbica Kujawska</w:t>
            </w:r>
          </w:p>
          <w:p>
            <w:pPr>
              <w:pStyle w:val="Normal"/>
              <w:widowControl/>
              <w:spacing w:before="0" w:after="0"/>
              <w:jc w:val="left"/>
              <w:rPr>
                <w:rFonts w:ascii="Calibri" w:hAnsi="Calibri" w:cs=""/>
                <w:kern w:val="0"/>
                <w:sz w:val="22"/>
                <w:szCs w:val="22"/>
                <w:lang w:val="pl-PL" w:eastAsia="en-US" w:bidi="ar-SA"/>
              </w:rPr>
            </w:pPr>
            <w:r>
              <w:rPr>
                <w:rFonts w:cs=""/>
                <w:b/>
                <w:bCs/>
                <w:kern w:val="0"/>
                <w:sz w:val="22"/>
                <w:szCs w:val="22"/>
                <w:lang w:val="pl-PL" w:eastAsia="en-US" w:bidi="ar-SA"/>
              </w:rPr>
              <w:t>ZIT-WL-14</w:t>
            </w:r>
            <w:r>
              <w:rPr>
                <w:rFonts w:cs=""/>
                <w:kern w:val="0"/>
                <w:sz w:val="22"/>
                <w:szCs w:val="22"/>
                <w:lang w:val="pl-PL" w:eastAsia="en-US" w:bidi="ar-SA"/>
              </w:rPr>
              <w:t xml:space="preserve"> Kompleksowa termomodernizacja budynków użyteczności publicznej na terenie gminy Lubraniec – Gmina Lubraniec</w:t>
            </w:r>
          </w:p>
          <w:p>
            <w:pPr>
              <w:pStyle w:val="Normal"/>
              <w:widowControl/>
              <w:spacing w:before="0" w:after="0"/>
              <w:jc w:val="left"/>
              <w:rPr>
                <w:rFonts w:ascii="Calibri" w:hAnsi="Calibri" w:cs=""/>
                <w:kern w:val="0"/>
                <w:sz w:val="22"/>
                <w:szCs w:val="22"/>
                <w:lang w:val="pl-PL" w:eastAsia="en-US" w:bidi="ar-SA"/>
              </w:rPr>
            </w:pPr>
            <w:r>
              <w:rPr>
                <w:rFonts w:cs=""/>
                <w:b/>
                <w:bCs/>
                <w:kern w:val="0"/>
                <w:sz w:val="22"/>
                <w:szCs w:val="22"/>
                <w:lang w:val="pl-PL" w:eastAsia="en-US" w:bidi="ar-SA"/>
              </w:rPr>
              <w:t>ZIT-WL-15</w:t>
            </w:r>
            <w:r>
              <w:rPr>
                <w:rFonts w:cs=""/>
                <w:kern w:val="0"/>
                <w:sz w:val="22"/>
                <w:szCs w:val="22"/>
                <w:lang w:val="pl-PL" w:eastAsia="en-US" w:bidi="ar-SA"/>
              </w:rPr>
              <w:t xml:space="preserve"> Termomodernizacja budynków użyteczności publicznej na terenie miasta Włocławek – Gmina Miasto Włocławek</w:t>
            </w:r>
          </w:p>
          <w:p>
            <w:pPr>
              <w:pStyle w:val="Normal"/>
              <w:widowControl/>
              <w:spacing w:before="0" w:after="0"/>
              <w:jc w:val="left"/>
              <w:rPr>
                <w:rFonts w:ascii="Calibri" w:hAnsi="Calibri" w:cs=""/>
                <w:kern w:val="0"/>
                <w:sz w:val="22"/>
                <w:szCs w:val="22"/>
                <w:lang w:val="pl-PL" w:eastAsia="en-US" w:bidi="ar-SA"/>
              </w:rPr>
            </w:pPr>
            <w:r>
              <w:rPr>
                <w:rFonts w:cs=""/>
                <w:b/>
                <w:bCs/>
                <w:kern w:val="0"/>
                <w:sz w:val="22"/>
                <w:szCs w:val="22"/>
                <w:lang w:val="pl-PL" w:eastAsia="en-US" w:bidi="ar-SA"/>
              </w:rPr>
              <w:t>ZIT-WL-16</w:t>
            </w:r>
            <w:r>
              <w:rPr>
                <w:rFonts w:cs=""/>
                <w:kern w:val="0"/>
                <w:sz w:val="22"/>
                <w:szCs w:val="22"/>
                <w:lang w:val="pl-PL" w:eastAsia="en-US" w:bidi="ar-SA"/>
              </w:rPr>
              <w:t xml:space="preserve">  Termomodernizacja obiektów użyteczności publicznej – Gmina Włocławek</w:t>
            </w:r>
          </w:p>
          <w:p>
            <w:pPr>
              <w:pStyle w:val="Normal"/>
              <w:widowControl/>
              <w:spacing w:before="0" w:after="0"/>
              <w:jc w:val="left"/>
              <w:rPr>
                <w:rFonts w:ascii="Calibri" w:hAnsi="Calibri" w:cs=""/>
                <w:kern w:val="0"/>
                <w:sz w:val="22"/>
                <w:szCs w:val="22"/>
                <w:lang w:val="pl-PL" w:eastAsia="en-US" w:bidi="ar-SA"/>
              </w:rPr>
            </w:pPr>
            <w:r>
              <w:rPr>
                <w:rFonts w:cs=""/>
                <w:b/>
                <w:bCs/>
                <w:kern w:val="0"/>
                <w:sz w:val="22"/>
                <w:szCs w:val="22"/>
                <w:lang w:val="pl-PL" w:eastAsia="en-US" w:bidi="ar-SA"/>
              </w:rPr>
              <w:t>ZIT-WL-17</w:t>
            </w:r>
            <w:r>
              <w:rPr>
                <w:rFonts w:cs=""/>
                <w:kern w:val="0"/>
                <w:sz w:val="22"/>
                <w:szCs w:val="22"/>
                <w:lang w:val="pl-PL" w:eastAsia="en-US" w:bidi="ar-SA"/>
              </w:rPr>
              <w:t xml:space="preserve"> Kompleksowa termomodernizacja komunalnych budynków mieszkalnych w Kowalu – Gmina Miasto Kowal</w:t>
            </w:r>
          </w:p>
          <w:p>
            <w:pPr>
              <w:pStyle w:val="Normal"/>
              <w:widowControl/>
              <w:spacing w:before="0" w:after="0"/>
              <w:jc w:val="left"/>
              <w:rPr>
                <w:rFonts w:ascii="Calibri" w:hAnsi="Calibri" w:cs=""/>
                <w:kern w:val="0"/>
                <w:sz w:val="22"/>
                <w:szCs w:val="22"/>
                <w:lang w:val="pl-PL" w:eastAsia="en-US" w:bidi="ar-SA"/>
              </w:rPr>
            </w:pPr>
            <w:r>
              <w:rPr>
                <w:rFonts w:cs=""/>
                <w:b/>
                <w:bCs/>
                <w:kern w:val="0"/>
                <w:sz w:val="22"/>
                <w:szCs w:val="22"/>
                <w:lang w:val="pl-PL" w:eastAsia="en-US" w:bidi="ar-SA"/>
              </w:rPr>
              <w:t>ZIT-WL-18</w:t>
            </w:r>
            <w:r>
              <w:rPr>
                <w:rFonts w:cs=""/>
                <w:kern w:val="0"/>
                <w:sz w:val="22"/>
                <w:szCs w:val="22"/>
                <w:lang w:val="pl-PL" w:eastAsia="en-US" w:bidi="ar-SA"/>
              </w:rPr>
              <w:t xml:space="preserve"> Kompleksowa modernizacja energetyczna komunalnych budynków mieszkalnych na terenie Miasta i Gminy Chodecz – Miasto i Gmina Chodecz</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ZIT-WL-19</w:t>
            </w:r>
            <w:r>
              <w:rPr>
                <w:rFonts w:cs=""/>
                <w:kern w:val="0"/>
                <w:sz w:val="22"/>
                <w:szCs w:val="22"/>
                <w:lang w:val="pl-PL" w:eastAsia="en-US" w:bidi="ar-SA"/>
              </w:rPr>
              <w:t xml:space="preserve"> Termomodernizacja komunalnego budynku mieszkalnego – Gmina Lubanie</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ZIT-WL-20</w:t>
            </w:r>
            <w:r>
              <w:rPr>
                <w:rFonts w:cs=""/>
                <w:kern w:val="0"/>
                <w:sz w:val="22"/>
                <w:szCs w:val="22"/>
                <w:lang w:val="pl-PL" w:eastAsia="en-US" w:bidi="ar-SA"/>
              </w:rPr>
              <w:t xml:space="preserve"> Termomodernizacja komunalnych budynków mieszkalnych – Gmina Lubień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ZIT-WL-21</w:t>
            </w:r>
            <w:r>
              <w:rPr>
                <w:rFonts w:cs=""/>
                <w:kern w:val="0"/>
                <w:sz w:val="22"/>
                <w:szCs w:val="22"/>
                <w:lang w:val="pl-PL" w:eastAsia="en-US" w:bidi="ar-SA"/>
              </w:rPr>
              <w:t xml:space="preserve"> Termomodernizacja komunalnych budynków mieszkalnych – Gmina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ZIT-WL-22</w:t>
            </w:r>
            <w:r>
              <w:rPr>
                <w:rFonts w:cs=""/>
                <w:kern w:val="0"/>
                <w:sz w:val="22"/>
                <w:szCs w:val="22"/>
                <w:lang w:val="pl-PL" w:eastAsia="en-US" w:bidi="ar-SA"/>
              </w:rPr>
              <w:t xml:space="preserve"> Kompleksowa modernizacja energetyczna komunalnych budynków mieszkalnych na terenie Gminy Boniewo – Gmina Boniewo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ZIT-WL-23</w:t>
            </w:r>
            <w:r>
              <w:rPr>
                <w:rFonts w:cs=""/>
                <w:kern w:val="0"/>
                <w:sz w:val="22"/>
                <w:szCs w:val="22"/>
                <w:lang w:val="pl-PL" w:eastAsia="en-US" w:bidi="ar-SA"/>
              </w:rPr>
              <w:t xml:space="preserve"> Budowa kotłowni miejskiej w Brześciu Kujawskim – Gmina Brześć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ZIT-WL-24</w:t>
            </w:r>
            <w:r>
              <w:rPr>
                <w:rFonts w:cs=""/>
                <w:kern w:val="0"/>
                <w:sz w:val="22"/>
                <w:szCs w:val="22"/>
                <w:lang w:val="pl-PL" w:eastAsia="en-US" w:bidi="ar-SA"/>
              </w:rPr>
              <w:t xml:space="preserve"> Wymiana źródeł ciepła w jednostkach organizacyjnych powiatu – Powiat Włocławski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ZIT-WL-25</w:t>
            </w:r>
            <w:r>
              <w:rPr>
                <w:rFonts w:cs=""/>
                <w:kern w:val="0"/>
                <w:sz w:val="22"/>
                <w:szCs w:val="22"/>
                <w:lang w:val="pl-PL" w:eastAsia="en-US" w:bidi="ar-SA"/>
              </w:rPr>
              <w:t xml:space="preserve"> Modernizacja ciepłowni lokalnej – Gmina Baruchowo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 xml:space="preserve">ZIT-WL-26 </w:t>
            </w:r>
            <w:r>
              <w:rPr>
                <w:rFonts w:cs=""/>
                <w:kern w:val="0"/>
                <w:sz w:val="22"/>
                <w:szCs w:val="22"/>
                <w:lang w:val="pl-PL" w:eastAsia="en-US" w:bidi="ar-SA"/>
              </w:rPr>
              <w:t>Modernizacja lokalnego źródła ciepła z infrastrukturą towarzyszącą w Zespole Szkól Boniewo – Gmina Boniewo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ZIT-WL-27</w:t>
            </w:r>
            <w:r>
              <w:rPr>
                <w:rFonts w:cs=""/>
                <w:kern w:val="0"/>
                <w:sz w:val="22"/>
                <w:szCs w:val="22"/>
                <w:lang w:val="pl-PL" w:eastAsia="en-US" w:bidi="ar-SA"/>
              </w:rPr>
              <w:t xml:space="preserve"> Modernizacja lokalnych ciepłowni w obiektach użyteczności publicznej z wykorzysta- niem OZE -  Gmina Lubanie</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ZIT-WL-28</w:t>
            </w:r>
            <w:r>
              <w:rPr>
                <w:rFonts w:cs=""/>
                <w:kern w:val="0"/>
                <w:sz w:val="22"/>
                <w:szCs w:val="22"/>
                <w:lang w:val="pl-PL" w:eastAsia="en-US" w:bidi="ar-SA"/>
              </w:rPr>
              <w:t xml:space="preserve"> Wymiana oświetlenie ulicznego na terenie gminy Lubraniec – Gmina Lubraniec</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ZIT-WL-29</w:t>
            </w:r>
            <w:r>
              <w:rPr>
                <w:rFonts w:cs=""/>
                <w:kern w:val="0"/>
                <w:sz w:val="22"/>
                <w:szCs w:val="22"/>
                <w:lang w:val="pl-PL" w:eastAsia="en-US" w:bidi="ar-SA"/>
              </w:rPr>
              <w:t xml:space="preserve"> Wymiana oświetlenia na energooszczędne na obszarze Miasta Włocławek – Gmina Miasto Włocławek</w:t>
            </w:r>
          </w:p>
        </w:tc>
      </w:tr>
      <w:tr>
        <w:trPr/>
        <w:tc>
          <w:tcPr>
            <w:tcW w:w="2339" w:type="dxa"/>
            <w:vMerge w:val="continue"/>
            <w:tcBorders/>
            <w:vAlign w:val="center"/>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1774" w:type="dxa"/>
            <w:tcBorders/>
          </w:tcPr>
          <w:p>
            <w:pPr>
              <w:pStyle w:val="Normal"/>
              <w:widowControl/>
              <w:spacing w:before="0" w:after="0"/>
              <w:jc w:val="left"/>
              <w:rPr>
                <w:b/>
              </w:rPr>
            </w:pPr>
            <w:r>
              <w:rPr>
                <w:rFonts w:cs=""/>
                <w:b/>
                <w:kern w:val="0"/>
                <w:sz w:val="22"/>
                <w:szCs w:val="22"/>
                <w:lang w:val="pl-PL" w:eastAsia="en-US" w:bidi="ar-SA"/>
              </w:rPr>
              <w:t>Priorytet 2</w:t>
            </w:r>
          </w:p>
          <w:p>
            <w:pPr>
              <w:pStyle w:val="Normal"/>
              <w:widowControl/>
              <w:spacing w:before="0" w:after="0"/>
              <w:jc w:val="left"/>
              <w:rPr>
                <w:b/>
              </w:rPr>
            </w:pPr>
            <w:r>
              <w:rPr>
                <w:rFonts w:cs=""/>
                <w:kern w:val="0"/>
                <w:sz w:val="22"/>
                <w:szCs w:val="22"/>
                <w:lang w:val="pl-PL" w:eastAsia="en-US" w:bidi="ar-SA"/>
              </w:rPr>
              <w:t>Fundusze Europejskie dla czystej energii i ochrony zasobów środowiska regionu</w:t>
            </w:r>
          </w:p>
        </w:tc>
        <w:tc>
          <w:tcPr>
            <w:tcW w:w="2537" w:type="dxa"/>
            <w:tcBorders/>
          </w:tcPr>
          <w:p>
            <w:pPr>
              <w:pStyle w:val="Normal"/>
              <w:widowControl/>
              <w:spacing w:before="0" w:after="0"/>
              <w:jc w:val="left"/>
              <w:rPr>
                <w:b/>
              </w:rPr>
            </w:pPr>
            <w:r>
              <w:rPr>
                <w:rFonts w:cs=""/>
                <w:b/>
                <w:kern w:val="0"/>
                <w:sz w:val="22"/>
                <w:szCs w:val="22"/>
                <w:lang w:val="pl-PL" w:eastAsia="en-US" w:bidi="ar-SA"/>
              </w:rPr>
              <w:t>2(iv)</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Wspieranie przystosowania się do zmian klimatu i zapobiegania ryzyku związanemu z klęskami żywiołowymi i katastrofami, a także odporności, z uwzględnieniem podejścia ekosystemowego</w:t>
            </w:r>
          </w:p>
        </w:tc>
        <w:tc>
          <w:tcPr>
            <w:tcW w:w="2419" w:type="dxa"/>
            <w:tcBorders/>
          </w:tcPr>
          <w:p>
            <w:pPr>
              <w:pStyle w:val="Normal"/>
              <w:widowControl/>
              <w:spacing w:lineRule="auto" w:line="240" w:before="0" w:after="160"/>
              <w:jc w:val="left"/>
              <w:rPr>
                <w:rFonts w:ascii="Calibri" w:hAnsi="Calibri" w:cs=""/>
                <w:kern w:val="0"/>
                <w:sz w:val="22"/>
                <w:szCs w:val="22"/>
                <w:lang w:val="pl-PL" w:eastAsia="en-US" w:bidi="ar-SA"/>
              </w:rPr>
            </w:pPr>
            <w:r>
              <w:rPr>
                <w:rFonts w:cs=""/>
                <w:b/>
                <w:bCs/>
                <w:kern w:val="0"/>
                <w:sz w:val="22"/>
                <w:szCs w:val="22"/>
                <w:lang w:val="pl-PL" w:eastAsia="en-US" w:bidi="ar-SA"/>
              </w:rPr>
              <w:t>ZIT-WL-30</w:t>
            </w:r>
            <w:r>
              <w:rPr>
                <w:rFonts w:cs=""/>
                <w:kern w:val="0"/>
                <w:sz w:val="22"/>
                <w:szCs w:val="22"/>
                <w:lang w:val="pl-PL" w:eastAsia="en-US" w:bidi="ar-SA"/>
              </w:rPr>
              <w:t xml:space="preserve"> Zielony Włocławek – Miasto odporne na zmiany klimatu - Gmina Miasto Włocławek</w:t>
            </w:r>
          </w:p>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r>
      <w:tr>
        <w:trPr/>
        <w:tc>
          <w:tcPr>
            <w:tcW w:w="2339" w:type="dxa"/>
            <w:vMerge w:val="continue"/>
            <w:tcBorders/>
            <w:vAlign w:val="center"/>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1774" w:type="dxa"/>
            <w:tcBorders/>
          </w:tcPr>
          <w:p>
            <w:pPr>
              <w:pStyle w:val="Normal"/>
              <w:widowControl/>
              <w:spacing w:lineRule="auto" w:line="240" w:before="0" w:after="0"/>
              <w:jc w:val="left"/>
              <w:rPr>
                <w:b/>
              </w:rPr>
            </w:pPr>
            <w:r>
              <w:rPr>
                <w:rFonts w:cs=""/>
                <w:b/>
                <w:kern w:val="0"/>
                <w:sz w:val="22"/>
                <w:szCs w:val="22"/>
                <w:lang w:val="pl-PL" w:eastAsia="en-US" w:bidi="ar-SA"/>
              </w:rPr>
              <w:t>Priorytet 2</w:t>
            </w:r>
          </w:p>
          <w:p>
            <w:pPr>
              <w:pStyle w:val="Normal"/>
              <w:widowControl/>
              <w:spacing w:lineRule="auto" w:line="240" w:before="0" w:after="0"/>
              <w:jc w:val="left"/>
              <w:rPr>
                <w:b/>
              </w:rPr>
            </w:pPr>
            <w:r>
              <w:rPr>
                <w:rFonts w:cs=""/>
                <w:kern w:val="0"/>
                <w:sz w:val="22"/>
                <w:szCs w:val="22"/>
                <w:lang w:val="pl-PL" w:eastAsia="en-US" w:bidi="ar-SA"/>
              </w:rPr>
              <w:t>Fundusze Europejskie dla czystej energii i ochrony zasobów środowiska regionu</w:t>
            </w:r>
          </w:p>
        </w:tc>
        <w:tc>
          <w:tcPr>
            <w:tcW w:w="2537" w:type="dxa"/>
            <w:tcBorders/>
          </w:tcPr>
          <w:p>
            <w:pPr>
              <w:pStyle w:val="Normal"/>
              <w:widowControl/>
              <w:spacing w:before="0" w:after="0"/>
              <w:jc w:val="left"/>
              <w:rPr>
                <w:b/>
              </w:rPr>
            </w:pPr>
            <w:r>
              <w:rPr>
                <w:rFonts w:cs=""/>
                <w:b/>
                <w:kern w:val="0"/>
                <w:sz w:val="22"/>
                <w:szCs w:val="22"/>
                <w:lang w:val="pl-PL" w:eastAsia="en-US" w:bidi="ar-SA"/>
              </w:rPr>
              <w:t>2(v)</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Wspieranie dostępu do wody oraz zrównoważonej gospodarki wodnej</w:t>
            </w:r>
          </w:p>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ZIT-WL-31</w:t>
            </w:r>
            <w:r>
              <w:rPr>
                <w:rFonts w:cs=""/>
                <w:kern w:val="0"/>
                <w:sz w:val="22"/>
                <w:szCs w:val="22"/>
                <w:lang w:val="pl-PL" w:eastAsia="en-US" w:bidi="ar-SA"/>
              </w:rPr>
              <w:t xml:space="preserve"> Modernizacja stacji uzdatniania wody w m. Narty, gm. Lubień Kujawski – Lubień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ZIT-WL-32</w:t>
            </w:r>
            <w:r>
              <w:rPr>
                <w:rFonts w:cs=""/>
                <w:kern w:val="0"/>
                <w:sz w:val="22"/>
                <w:szCs w:val="22"/>
                <w:lang w:val="pl-PL" w:eastAsia="en-US" w:bidi="ar-SA"/>
              </w:rPr>
              <w:t xml:space="preserve"> Modernizacja systemu wodociągowego w zakresie wprowadzenia inteligentnych rozwiązań – Gmina Kowal</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ZIT-WL-33</w:t>
            </w:r>
            <w:r>
              <w:rPr>
                <w:rFonts w:cs=""/>
                <w:kern w:val="0"/>
                <w:sz w:val="22"/>
                <w:szCs w:val="22"/>
                <w:lang w:val="pl-PL" w:eastAsia="en-US" w:bidi="ar-SA"/>
              </w:rPr>
              <w:t xml:space="preserve"> Budowa i przebudowa infrastruktury służącej zaopatrzeniu ludności w wodę pitną na terenie gminy Choceń – Gmina Choceń</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ZIT-WL-34</w:t>
            </w:r>
            <w:r>
              <w:rPr>
                <w:rFonts w:cs=""/>
                <w:kern w:val="0"/>
                <w:sz w:val="22"/>
                <w:szCs w:val="22"/>
                <w:lang w:val="pl-PL" w:eastAsia="en-US" w:bidi="ar-SA"/>
              </w:rPr>
              <w:t xml:space="preserve"> Modernizacja systemu wodociągowego w zakresie wprowadzenia inteligentnych rozwiązań – Miasto i Gmina Chodecz </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ZIT-WL-35</w:t>
            </w:r>
            <w:r>
              <w:rPr>
                <w:rFonts w:cs=""/>
                <w:kern w:val="0"/>
                <w:sz w:val="22"/>
                <w:szCs w:val="22"/>
                <w:lang w:val="pl-PL" w:eastAsia="en-US" w:bidi="ar-SA"/>
              </w:rPr>
              <w:t xml:space="preserve"> Wykonanie systemu zdalnego pomiaru i dystrybucji wody w sieci oraz radiowych pomiarów jej zużycia na danych obszarach gminy – Gmina Izbica Kujawska</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ZIT-WL-36</w:t>
            </w:r>
            <w:r>
              <w:rPr>
                <w:rFonts w:cs=""/>
                <w:kern w:val="0"/>
                <w:sz w:val="22"/>
                <w:szCs w:val="22"/>
                <w:lang w:val="pl-PL" w:eastAsia="en-US" w:bidi="ar-SA"/>
              </w:rPr>
              <w:t xml:space="preserve"> Rozbudowa i modernizacja stacji uzdatniania wody w Szpetalu Górnym – Gmina Fabianki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ZIT-WL-37</w:t>
            </w:r>
            <w:r>
              <w:rPr>
                <w:rFonts w:cs=""/>
                <w:kern w:val="0"/>
                <w:sz w:val="22"/>
                <w:szCs w:val="22"/>
                <w:lang w:val="pl-PL" w:eastAsia="en-US" w:bidi="ar-SA"/>
              </w:rPr>
              <w:t xml:space="preserve"> Modernizacja sieci wodociągowej na terenie gminy Lubraniec – Gmina Lubraniec </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ZIT-WL-38</w:t>
            </w:r>
            <w:r>
              <w:rPr>
                <w:rFonts w:cs=""/>
                <w:kern w:val="0"/>
                <w:sz w:val="22"/>
                <w:szCs w:val="22"/>
                <w:lang w:val="pl-PL" w:eastAsia="en-US" w:bidi="ar-SA"/>
              </w:rPr>
              <w:t xml:space="preserve"> Modernizacja sieci wodociągowej na terenie Gminy Boniewo – Gmina Boniewo</w:t>
            </w:r>
          </w:p>
        </w:tc>
      </w:tr>
      <w:tr>
        <w:trPr>
          <w:trHeight w:val="991" w:hRule="atLeast"/>
        </w:trPr>
        <w:tc>
          <w:tcPr>
            <w:tcW w:w="2339" w:type="dxa"/>
            <w:vMerge w:val="continue"/>
            <w:tcBorders/>
          </w:tcPr>
          <w:p>
            <w:pPr>
              <w:pStyle w:val="Normal"/>
              <w:widowControl/>
              <w:spacing w:before="0" w:after="0"/>
              <w:jc w:val="left"/>
              <w:rPr>
                <w:b/>
              </w:rPr>
            </w:pPr>
            <w:r>
              <w:rPr>
                <w:rFonts w:cs=""/>
                <w:b/>
                <w:kern w:val="0"/>
                <w:sz w:val="22"/>
                <w:szCs w:val="22"/>
                <w:lang w:val="pl-PL" w:eastAsia="en-US" w:bidi="ar-SA"/>
              </w:rPr>
            </w:r>
          </w:p>
        </w:tc>
        <w:tc>
          <w:tcPr>
            <w:tcW w:w="1774" w:type="dxa"/>
            <w:tcBorders/>
          </w:tcPr>
          <w:p>
            <w:pPr>
              <w:pStyle w:val="Normal"/>
              <w:widowControl/>
              <w:spacing w:before="0" w:after="0"/>
              <w:jc w:val="left"/>
              <w:rPr>
                <w:b/>
              </w:rPr>
            </w:pPr>
            <w:r>
              <w:rPr>
                <w:rFonts w:cs=""/>
                <w:b/>
                <w:kern w:val="0"/>
                <w:sz w:val="22"/>
                <w:szCs w:val="22"/>
                <w:lang w:val="pl-PL" w:eastAsia="en-US" w:bidi="ar-SA"/>
              </w:rPr>
              <w:t>Priorytet 3</w:t>
            </w:r>
          </w:p>
          <w:p>
            <w:pPr>
              <w:pStyle w:val="Normal"/>
              <w:widowControl/>
              <w:spacing w:before="0" w:after="0"/>
              <w:jc w:val="left"/>
              <w:rPr>
                <w:b/>
              </w:rPr>
            </w:pPr>
            <w:r>
              <w:rPr>
                <w:rFonts w:cs=""/>
                <w:kern w:val="0"/>
                <w:sz w:val="22"/>
                <w:szCs w:val="22"/>
                <w:lang w:val="pl-PL" w:eastAsia="en-US" w:bidi="ar-SA"/>
              </w:rPr>
              <w:t>Fundusze Europejskie na zrównoważony transport miejski</w:t>
            </w:r>
          </w:p>
        </w:tc>
        <w:tc>
          <w:tcPr>
            <w:tcW w:w="2537" w:type="dxa"/>
            <w:tcBorders/>
          </w:tcPr>
          <w:p>
            <w:pPr>
              <w:pStyle w:val="Normal"/>
              <w:widowControl/>
              <w:spacing w:before="0" w:after="0"/>
              <w:jc w:val="left"/>
              <w:rPr>
                <w:b/>
              </w:rPr>
            </w:pPr>
            <w:r>
              <w:rPr>
                <w:rFonts w:cs=""/>
                <w:b/>
                <w:kern w:val="0"/>
                <w:sz w:val="22"/>
                <w:szCs w:val="22"/>
                <w:lang w:val="pl-PL" w:eastAsia="en-US" w:bidi="ar-SA"/>
              </w:rPr>
              <w:t>2(viii)</w:t>
            </w:r>
          </w:p>
          <w:p>
            <w:pPr>
              <w:pStyle w:val="Normal"/>
              <w:widowControl/>
              <w:spacing w:before="0" w:after="0"/>
              <w:jc w:val="left"/>
              <w:rPr>
                <w:b/>
              </w:rPr>
            </w:pPr>
            <w:r>
              <w:rPr>
                <w:rFonts w:cs=""/>
                <w:kern w:val="0"/>
                <w:sz w:val="22"/>
                <w:szCs w:val="22"/>
                <w:lang w:val="pl-PL" w:eastAsia="en-US" w:bidi="ar-SA"/>
              </w:rPr>
              <w:t>Wspieranie zrównoważonej multimodalnej mobilności miejskiej jako elementu transformacji w kierunku gospodarki zeroemisyjnej</w:t>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w:t>
            </w:r>
            <w:r>
              <w:rPr>
                <w:rFonts w:cs=""/>
                <w:kern w:val="0"/>
                <w:sz w:val="22"/>
                <w:szCs w:val="22"/>
                <w:lang w:val="pl-PL" w:eastAsia="en-US" w:bidi="ar-SA"/>
              </w:rPr>
              <w:t xml:space="preserve"> Poprawa funkcjonowania transportu zbiorowego w mieście Włocławek poprzez modernizację infrastruktury towarzyszącej transportowi zbiorowemu – Gmina Miasto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ZIT-WL-9</w:t>
            </w:r>
            <w:r>
              <w:rPr>
                <w:rFonts w:cs=""/>
                <w:kern w:val="0"/>
                <w:sz w:val="22"/>
                <w:szCs w:val="22"/>
                <w:lang w:val="pl-PL" w:eastAsia="en-US" w:bidi="ar-SA"/>
              </w:rPr>
              <w:t xml:space="preserve"> Budowa i przebudowa dróg rowerowych na terenie miasta Włocławek - Gmina Miasto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ZIT-WL-10</w:t>
            </w:r>
            <w:r>
              <w:rPr>
                <w:rFonts w:cs=""/>
                <w:kern w:val="0"/>
                <w:sz w:val="22"/>
                <w:szCs w:val="22"/>
                <w:lang w:val="pl-PL" w:eastAsia="en-US" w:bidi="ar-SA"/>
              </w:rPr>
              <w:t xml:space="preserve"> Tabor na potrzeby czystej komunikacji w mieście Włocławek - Gmina Miasto Włocławek</w:t>
            </w:r>
          </w:p>
        </w:tc>
      </w:tr>
      <w:tr>
        <w:trPr>
          <w:trHeight w:val="991" w:hRule="atLeast"/>
        </w:trPr>
        <w:tc>
          <w:tcPr>
            <w:tcW w:w="2339" w:type="dxa"/>
            <w:vMerge w:val="restart"/>
            <w:tcBorders/>
          </w:tcPr>
          <w:p>
            <w:pPr>
              <w:pStyle w:val="Normal"/>
              <w:widowControl/>
              <w:spacing w:before="0" w:after="0"/>
              <w:jc w:val="left"/>
              <w:rPr>
                <w:b/>
              </w:rPr>
            </w:pPr>
            <w:r>
              <w:rPr>
                <w:rFonts w:cs=""/>
                <w:b/>
                <w:kern w:val="0"/>
                <w:sz w:val="22"/>
                <w:szCs w:val="22"/>
                <w:lang w:val="pl-PL" w:eastAsia="en-US" w:bidi="ar-SA"/>
              </w:rPr>
              <w:t>4(f)</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 xml:space="preserve">Wspieranie równego dostępu do dobrej jakości, włączającego kształcenia i szkolenia oraz możliwości ich ukończenia, </w:t>
              <w:br/>
              <w:t xml:space="preserve">w szczególności </w:t>
              <w:br/>
              <w:t xml:space="preserve">w odniesieniu do grup </w:t>
              <w:br/>
              <w:t xml:space="preserve">w niekorzystnej sytuacji, od wczesnej edukacji </w:t>
              <w:br/>
              <w:t xml:space="preserve">i opieki nad dzieckiem przez ogólne i zawodowe kształcenie i szkolenie, po szkolnictwo wyższe, a także kształcenie i uczenie się dorosłych, w tym ułatwienie mobilności edukacyjnej dla wszystkich i dostępności dla osób z niepełnosprawnościami </w:t>
            </w:r>
          </w:p>
        </w:tc>
        <w:tc>
          <w:tcPr>
            <w:tcW w:w="1774" w:type="dxa"/>
            <w:tcBorders/>
          </w:tcPr>
          <w:p>
            <w:pPr>
              <w:pStyle w:val="Normal"/>
              <w:widowControl/>
              <w:spacing w:before="0" w:after="0"/>
              <w:jc w:val="left"/>
              <w:rPr>
                <w:b/>
              </w:rPr>
            </w:pPr>
            <w:r>
              <w:rPr>
                <w:rFonts w:cs=""/>
                <w:b/>
                <w:kern w:val="0"/>
                <w:sz w:val="22"/>
                <w:szCs w:val="22"/>
                <w:lang w:val="pl-PL" w:eastAsia="en-US" w:bidi="ar-SA"/>
              </w:rPr>
              <w:t>Priorytet 7</w:t>
            </w:r>
          </w:p>
          <w:p>
            <w:pPr>
              <w:pStyle w:val="Normal"/>
              <w:widowControl/>
              <w:spacing w:before="0" w:after="0"/>
              <w:jc w:val="left"/>
              <w:rPr>
                <w:b/>
              </w:rPr>
            </w:pPr>
            <w:r>
              <w:rPr>
                <w:rFonts w:cs=""/>
                <w:kern w:val="0"/>
                <w:sz w:val="22"/>
                <w:szCs w:val="22"/>
                <w:lang w:val="pl-PL" w:eastAsia="en-US" w:bidi="ar-SA"/>
              </w:rPr>
              <w:t>Fundusze Europejskie na rozwój lokalny</w:t>
            </w:r>
          </w:p>
        </w:tc>
        <w:tc>
          <w:tcPr>
            <w:tcW w:w="2537" w:type="dxa"/>
            <w:tcBorders/>
          </w:tcPr>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ZIT-WL-42</w:t>
            </w:r>
            <w:r>
              <w:rPr>
                <w:rFonts w:cs=""/>
                <w:kern w:val="0"/>
                <w:sz w:val="22"/>
                <w:szCs w:val="22"/>
                <w:lang w:val="pl-PL" w:eastAsia="en-US" w:bidi="ar-SA"/>
              </w:rPr>
              <w:t xml:space="preserve"> Organizacja zajęć dla dzieci w wieku przedszkolnym – Gmina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ZIT-WL-43</w:t>
            </w:r>
            <w:r>
              <w:rPr>
                <w:rFonts w:cs=""/>
                <w:kern w:val="0"/>
                <w:sz w:val="22"/>
                <w:szCs w:val="22"/>
                <w:lang w:val="pl-PL" w:eastAsia="en-US" w:bidi="ar-SA"/>
              </w:rPr>
              <w:t xml:space="preserve"> Organizacja zajęć i poprawa jakości opieki przedszkolnej w Gminie Brześć Kujawski – Gmina Brześć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ZIT-WL-44</w:t>
            </w:r>
            <w:r>
              <w:rPr>
                <w:rFonts w:cs=""/>
                <w:kern w:val="0"/>
                <w:sz w:val="22"/>
                <w:szCs w:val="22"/>
                <w:lang w:val="pl-PL" w:eastAsia="en-US" w:bidi="ar-SA"/>
              </w:rPr>
              <w:t xml:space="preserve"> Poprawa jakości opieki przedszkolnej na terenie Miasta i Gminy Chodecz – Miasto i gmina Chodecz</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ZIT-WL-45</w:t>
            </w:r>
            <w:r>
              <w:rPr>
                <w:rFonts w:cs=""/>
                <w:kern w:val="0"/>
                <w:sz w:val="22"/>
                <w:szCs w:val="22"/>
                <w:lang w:val="pl-PL" w:eastAsia="en-US" w:bidi="ar-SA"/>
              </w:rPr>
              <w:t xml:space="preserve"> Zwiększenie liczby miejsc przedszkolnych </w:t>
              <w:br/>
              <w:t>w Przedszkolu Samorządowym w Izbicy Kujawskiej – Gmina Izbica Kujawska</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ZIT-WL-46</w:t>
            </w:r>
            <w:r>
              <w:rPr>
                <w:rFonts w:cs=""/>
                <w:kern w:val="0"/>
                <w:sz w:val="22"/>
                <w:szCs w:val="22"/>
                <w:lang w:val="pl-PL" w:eastAsia="en-US" w:bidi="ar-SA"/>
              </w:rPr>
              <w:t xml:space="preserve"> Organizacja zajęć dla dzieci w wieku przedszkolnym – Gmina Baruchowo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ZIT-WL-47</w:t>
            </w:r>
            <w:r>
              <w:rPr>
                <w:rFonts w:cs=""/>
                <w:kern w:val="0"/>
                <w:sz w:val="22"/>
                <w:szCs w:val="22"/>
                <w:lang w:val="pl-PL" w:eastAsia="en-US" w:bidi="ar-SA"/>
              </w:rPr>
              <w:t xml:space="preserve"> Upowszechnienie </w:t>
              <w:br/>
              <w:t>i zapewnienie wysokiej jakości edukacji przedszkolnej na terenie gminy Lubraniec – Gmina Lubraniec</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ZIT-WL-48</w:t>
            </w:r>
            <w:r>
              <w:rPr>
                <w:rFonts w:cs=""/>
                <w:kern w:val="0"/>
                <w:sz w:val="22"/>
                <w:szCs w:val="22"/>
                <w:lang w:val="pl-PL" w:eastAsia="en-US" w:bidi="ar-SA"/>
              </w:rPr>
              <w:t xml:space="preserve"> Utworzenie nowych miejsc i bieżące ich funkcjonowanie w placówkach przedszkolnych na terenie gminy Lubień Kujawski – Gmina Lubień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ZIT-WL-49</w:t>
            </w:r>
            <w:r>
              <w:rPr>
                <w:rFonts w:cs=""/>
                <w:kern w:val="0"/>
                <w:sz w:val="22"/>
                <w:szCs w:val="22"/>
                <w:lang w:val="pl-PL" w:eastAsia="en-US" w:bidi="ar-SA"/>
              </w:rPr>
              <w:t xml:space="preserve"> Podniesienie kompetencji kluczowych uczniów z terenu Gminy Kowal – Gmina Kowal</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ZIT-WL-50</w:t>
            </w:r>
            <w:r>
              <w:rPr>
                <w:rFonts w:cs=""/>
                <w:kern w:val="0"/>
                <w:sz w:val="22"/>
                <w:szCs w:val="22"/>
                <w:lang w:val="pl-PL" w:eastAsia="en-US" w:bidi="ar-SA"/>
              </w:rPr>
              <w:t xml:space="preserve"> Podniesienie kompetencji kluczowych uczniów – Gmina Boniewo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ZIT-WL-51</w:t>
            </w:r>
            <w:r>
              <w:rPr>
                <w:rFonts w:cs=""/>
                <w:kern w:val="0"/>
                <w:sz w:val="22"/>
                <w:szCs w:val="22"/>
                <w:lang w:val="pl-PL" w:eastAsia="en-US" w:bidi="ar-SA"/>
              </w:rPr>
              <w:t xml:space="preserve"> Podniesienie jakości kształcenia ogólnego w gminie Lubień Kujawski – Gmina Lubień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ZIT-WL-52</w:t>
            </w:r>
            <w:r>
              <w:rPr>
                <w:rFonts w:cs=""/>
                <w:kern w:val="0"/>
                <w:sz w:val="22"/>
                <w:szCs w:val="22"/>
                <w:lang w:val="pl-PL" w:eastAsia="en-US" w:bidi="ar-SA"/>
              </w:rPr>
              <w:t xml:space="preserve"> Organizacja dodatkowych zajęć dla dzieci w wieku szkolnym – Gmina Baruchowo </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ZIT-WL-53</w:t>
            </w:r>
            <w:r>
              <w:rPr>
                <w:rFonts w:cs=""/>
                <w:kern w:val="0"/>
                <w:sz w:val="22"/>
                <w:szCs w:val="22"/>
                <w:lang w:val="pl-PL" w:eastAsia="en-US" w:bidi="ar-SA"/>
              </w:rPr>
              <w:t xml:space="preserve"> Uczymy się </w:t>
              <w:br/>
              <w:t>z pasją! – Gmina Choceń</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ZIT-WL-54</w:t>
            </w:r>
            <w:r>
              <w:rPr>
                <w:rFonts w:cs=""/>
                <w:kern w:val="0"/>
                <w:sz w:val="22"/>
                <w:szCs w:val="22"/>
                <w:lang w:val="pl-PL" w:eastAsia="en-US" w:bidi="ar-SA"/>
              </w:rPr>
              <w:t xml:space="preserve"> Poprawa oferty edukacyjnej </w:t>
              <w:br/>
              <w:t xml:space="preserve">w Szkole Podstawowej im. Tadeusza Kościuszki </w:t>
              <w:br/>
              <w:t xml:space="preserve">w Chodczu – Miasto </w:t>
              <w:br/>
              <w:t>i Gmina Chodecz</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ZIT-WL-55</w:t>
            </w:r>
            <w:r>
              <w:rPr>
                <w:rFonts w:cs=""/>
                <w:kern w:val="0"/>
                <w:sz w:val="22"/>
                <w:szCs w:val="22"/>
                <w:lang w:val="pl-PL" w:eastAsia="en-US" w:bidi="ar-SA"/>
              </w:rPr>
              <w:t xml:space="preserve"> Organizacja zajęć dla dzieci w wieku szkolnym – Gmina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ZIT-WL-56</w:t>
            </w:r>
            <w:r>
              <w:rPr>
                <w:rFonts w:cs=""/>
                <w:kern w:val="0"/>
                <w:sz w:val="22"/>
                <w:szCs w:val="22"/>
                <w:lang w:val="pl-PL" w:eastAsia="en-US" w:bidi="ar-SA"/>
              </w:rPr>
              <w:t xml:space="preserve"> Kompetencje kluczowe dla uczniów </w:t>
              <w:br/>
              <w:t>z gminy Fabianki – Gmina Fabianki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ZIT-WL-57</w:t>
            </w:r>
            <w:r>
              <w:rPr>
                <w:rFonts w:cs=""/>
                <w:kern w:val="0"/>
                <w:sz w:val="22"/>
                <w:szCs w:val="22"/>
                <w:lang w:val="pl-PL" w:eastAsia="en-US" w:bidi="ar-SA"/>
              </w:rPr>
              <w:t xml:space="preserve"> Podniesienie kompetencji kluczowych uczniów szkół podstawowych z gminy Fabianki - Gmina Fabianki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ZIT-WL-58</w:t>
            </w:r>
            <w:r>
              <w:rPr>
                <w:rFonts w:cs=""/>
                <w:kern w:val="0"/>
                <w:sz w:val="22"/>
                <w:szCs w:val="22"/>
                <w:lang w:val="pl-PL" w:eastAsia="en-US" w:bidi="ar-SA"/>
              </w:rPr>
              <w:t xml:space="preserve"> Wyrównywanie szans edukacyjnych poprzez podniesienie jakości </w:t>
              <w:br/>
              <w:t>i efektywności kształcenia ogólnego w gminie Lubraniec – Gmina Lubraniec</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ZIT-WL-59</w:t>
            </w:r>
            <w:r>
              <w:rPr>
                <w:rFonts w:cs=""/>
                <w:kern w:val="0"/>
                <w:sz w:val="22"/>
                <w:szCs w:val="22"/>
                <w:lang w:val="pl-PL" w:eastAsia="en-US" w:bidi="ar-SA"/>
              </w:rPr>
              <w:t xml:space="preserve"> Dostosowanie kształcenia ogólnego do potrzeb rynku pracy – Gmina Miasto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ZIT-WL-60</w:t>
            </w:r>
            <w:r>
              <w:rPr>
                <w:rFonts w:cs=""/>
                <w:kern w:val="0"/>
                <w:sz w:val="22"/>
                <w:szCs w:val="22"/>
                <w:lang w:val="pl-PL" w:eastAsia="en-US" w:bidi="ar-SA"/>
              </w:rPr>
              <w:t xml:space="preserve"> Poprawa jakości edukacji w Szkole Podstawowej w Lubaniu – Gmina Lubanie</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ZIT-WL-61</w:t>
            </w:r>
            <w:r>
              <w:rPr>
                <w:rFonts w:cs=""/>
                <w:kern w:val="0"/>
                <w:sz w:val="22"/>
                <w:szCs w:val="22"/>
                <w:lang w:val="pl-PL" w:eastAsia="en-US" w:bidi="ar-SA"/>
              </w:rPr>
              <w:t xml:space="preserve"> Dostosowanie kształcenia zawodowego do potrzeb rynku pracy – Gmina Miasto Włocławek </w:t>
            </w:r>
          </w:p>
        </w:tc>
      </w:tr>
      <w:tr>
        <w:trPr>
          <w:trHeight w:val="977" w:hRule="atLeast"/>
        </w:trPr>
        <w:tc>
          <w:tcPr>
            <w:tcW w:w="2339" w:type="dxa"/>
            <w:vMerge w:val="continue"/>
            <w:tcBorders/>
            <w:vAlign w:val="center"/>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1774" w:type="dxa"/>
            <w:tcBorders/>
          </w:tcPr>
          <w:p>
            <w:pPr>
              <w:pStyle w:val="Normal"/>
              <w:widowControl/>
              <w:spacing w:before="0" w:after="0"/>
              <w:jc w:val="left"/>
              <w:rPr>
                <w:b/>
              </w:rPr>
            </w:pPr>
            <w:r>
              <w:rPr>
                <w:rFonts w:cs=""/>
                <w:b/>
                <w:kern w:val="0"/>
                <w:sz w:val="22"/>
                <w:szCs w:val="22"/>
                <w:lang w:val="pl-PL" w:eastAsia="en-US" w:bidi="ar-SA"/>
              </w:rPr>
              <w:t>Priorytet 6</w:t>
            </w:r>
          </w:p>
          <w:p>
            <w:pPr>
              <w:pStyle w:val="Normal"/>
              <w:widowControl/>
              <w:spacing w:before="0" w:after="0"/>
              <w:jc w:val="left"/>
              <w:rPr>
                <w:b/>
              </w:rPr>
            </w:pPr>
            <w:r>
              <w:rPr>
                <w:rFonts w:cs=""/>
                <w:kern w:val="0"/>
                <w:sz w:val="22"/>
                <w:szCs w:val="22"/>
                <w:lang w:val="pl-PL" w:eastAsia="en-US" w:bidi="ar-SA"/>
              </w:rPr>
              <w:t>Fundusze Europejskie na rzecz zwiększania dostępności regionalnej infrastruktury dla mieszkańców</w:t>
            </w:r>
          </w:p>
        </w:tc>
        <w:tc>
          <w:tcPr>
            <w:tcW w:w="2537" w:type="dxa"/>
            <w:tcBorders/>
          </w:tcPr>
          <w:p>
            <w:pPr>
              <w:pStyle w:val="Normal"/>
              <w:widowControl/>
              <w:spacing w:before="0" w:after="0"/>
              <w:jc w:val="left"/>
              <w:rPr>
                <w:b/>
              </w:rPr>
            </w:pPr>
            <w:r>
              <w:rPr>
                <w:rFonts w:cs=""/>
                <w:b/>
                <w:kern w:val="0"/>
                <w:sz w:val="22"/>
                <w:szCs w:val="22"/>
                <w:lang w:val="pl-PL" w:eastAsia="en-US" w:bidi="ar-SA"/>
              </w:rPr>
              <w:t>4(ii)</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ZIT-WL-39</w:t>
            </w:r>
            <w:r>
              <w:rPr>
                <w:rFonts w:cs=""/>
                <w:kern w:val="0"/>
                <w:sz w:val="22"/>
                <w:szCs w:val="22"/>
                <w:lang w:val="pl-PL" w:eastAsia="en-US" w:bidi="ar-SA"/>
              </w:rPr>
              <w:t xml:space="preserve"> Przebudowa oraz remont Przedszkola Samorządowego w Izbicy Kujawskiej wraz z budową podjazdu dla osób niepełnosprawnych – Gmina Izbica Kujawska</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 xml:space="preserve">ZIT-WL-40 </w:t>
            </w:r>
            <w:r>
              <w:rPr>
                <w:rFonts w:cs=""/>
                <w:kern w:val="0"/>
                <w:sz w:val="22"/>
                <w:szCs w:val="22"/>
                <w:lang w:val="pl-PL" w:eastAsia="en-US" w:bidi="ar-SA"/>
              </w:rPr>
              <w:t>Rozbudowa i modernizacja Przedszkola Publicznego nr 1 w Brześciu Kujawskim – Gmina Brześć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ZIT-WL-41</w:t>
            </w:r>
            <w:r>
              <w:rPr>
                <w:rFonts w:cs=""/>
                <w:kern w:val="0"/>
                <w:sz w:val="22"/>
                <w:szCs w:val="22"/>
                <w:lang w:val="pl-PL" w:eastAsia="en-US" w:bidi="ar-SA"/>
              </w:rPr>
              <w:t xml:space="preserve"> Budowa budynku dydaktyczno - warsztatowego dla Zespołu Szkół w Kowalu – Powiat Włocławski</w:t>
            </w:r>
          </w:p>
        </w:tc>
      </w:tr>
      <w:tr>
        <w:trPr/>
        <w:tc>
          <w:tcPr>
            <w:tcW w:w="2339" w:type="dxa"/>
            <w:vMerge w:val="continue"/>
            <w:tcBorders/>
            <w:vAlign w:val="center"/>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1774" w:type="dxa"/>
            <w:tcBorders/>
          </w:tcPr>
          <w:p>
            <w:pPr>
              <w:pStyle w:val="Normal"/>
              <w:widowControl/>
              <w:spacing w:before="0" w:after="0"/>
              <w:jc w:val="left"/>
              <w:rPr>
                <w:b/>
              </w:rPr>
            </w:pPr>
            <w:r>
              <w:rPr>
                <w:rFonts w:cs=""/>
                <w:b/>
                <w:kern w:val="0"/>
                <w:sz w:val="22"/>
                <w:szCs w:val="22"/>
                <w:lang w:val="pl-PL" w:eastAsia="en-US" w:bidi="ar-SA"/>
              </w:rPr>
              <w:t>Priorytet 6</w:t>
            </w:r>
          </w:p>
          <w:p>
            <w:pPr>
              <w:pStyle w:val="Normal"/>
              <w:widowControl/>
              <w:spacing w:before="0" w:after="0"/>
              <w:jc w:val="left"/>
              <w:rPr>
                <w:b/>
              </w:rPr>
            </w:pPr>
            <w:r>
              <w:rPr>
                <w:rFonts w:cs=""/>
                <w:kern w:val="0"/>
                <w:sz w:val="22"/>
                <w:szCs w:val="22"/>
                <w:lang w:val="pl-PL" w:eastAsia="en-US" w:bidi="ar-SA"/>
              </w:rPr>
              <w:t>Fundusze Europejskie na rzecz zwiększania dostępności regionalnej infrastruktury dla mieszkańców</w:t>
            </w:r>
          </w:p>
        </w:tc>
        <w:tc>
          <w:tcPr>
            <w:tcW w:w="2537" w:type="dxa"/>
            <w:tcBorders/>
          </w:tcPr>
          <w:p>
            <w:pPr>
              <w:pStyle w:val="Normal"/>
              <w:widowControl/>
              <w:spacing w:before="0" w:after="0"/>
              <w:jc w:val="left"/>
              <w:rPr>
                <w:b/>
              </w:rPr>
            </w:pPr>
            <w:r>
              <w:rPr>
                <w:rFonts w:cs=""/>
                <w:b/>
                <w:kern w:val="0"/>
                <w:sz w:val="22"/>
                <w:szCs w:val="22"/>
                <w:lang w:val="pl-PL" w:eastAsia="en-US" w:bidi="ar-SA"/>
              </w:rPr>
              <w:t>4(v)</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Zapewnianie równego dostępu do opieki zdrowotnej i wspieranie odporności systemów opieki zdrowotnej, w tym podstawowej opieki zdrowotnej oraz wspieranie przechodzenia od opieki instytucjonalnej do opieki rodzinnej i środowiskowej</w:t>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ZIT-WL-62</w:t>
            </w:r>
            <w:r>
              <w:rPr>
                <w:rFonts w:cs=""/>
                <w:kern w:val="0"/>
                <w:sz w:val="22"/>
                <w:szCs w:val="22"/>
                <w:lang w:val="pl-PL" w:eastAsia="en-US" w:bidi="ar-SA"/>
              </w:rPr>
              <w:t xml:space="preserve"> Remont pomieszczeń rehabilitacji w Izbicy Kujawskiej – Gmina Izbica Kujawska</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ZIT-WL-63</w:t>
            </w:r>
            <w:r>
              <w:rPr>
                <w:rFonts w:cs=""/>
                <w:kern w:val="0"/>
                <w:sz w:val="22"/>
                <w:szCs w:val="22"/>
                <w:lang w:val="pl-PL" w:eastAsia="en-US" w:bidi="ar-SA"/>
              </w:rPr>
              <w:t xml:space="preserve"> Zakup aparatu rezonansu magnetycznego wraz z dostosowaniem pomieszczeń przy Powiatowym Centrum Zdrowia – Powiat włocławski</w:t>
            </w:r>
          </w:p>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r>
      <w:tr>
        <w:trPr/>
        <w:tc>
          <w:tcPr>
            <w:tcW w:w="2339" w:type="dxa"/>
            <w:tcBorders/>
          </w:tcPr>
          <w:p>
            <w:pPr>
              <w:pStyle w:val="Normal"/>
              <w:widowControl/>
              <w:spacing w:before="0" w:after="0"/>
              <w:jc w:val="left"/>
              <w:rPr>
                <w:rFonts w:ascii="Calibri" w:hAnsi="Calibri" w:cs=""/>
                <w:kern w:val="0"/>
                <w:sz w:val="22"/>
                <w:szCs w:val="22"/>
                <w:lang w:val="pl-PL" w:eastAsia="en-US" w:bidi="ar-SA"/>
              </w:rPr>
            </w:pPr>
            <w:r>
              <w:rPr>
                <w:rFonts w:cs=""/>
                <w:b/>
                <w:kern w:val="0"/>
                <w:sz w:val="22"/>
                <w:szCs w:val="22"/>
                <w:lang w:val="pl-PL" w:eastAsia="en-US" w:bidi="ar-SA"/>
              </w:rPr>
              <w:t>Cel Polityki 5.</w:t>
            </w:r>
            <w:r>
              <w:rPr>
                <w:rFonts w:cs=""/>
                <w:kern w:val="0"/>
                <w:sz w:val="22"/>
                <w:szCs w:val="22"/>
                <w:lang w:val="pl-PL" w:eastAsia="en-US" w:bidi="ar-SA"/>
              </w:rPr>
              <w:t xml:space="preserve"> </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Europa bliższa obywatelom dzięki wspieraniu zrównoważonego</w:t>
              <w:br/>
              <w:t xml:space="preserve"> i zintegrowanego rozwoju wszystkich rodzajów terytoriów oraz inicjatyw lokalnych</w:t>
            </w:r>
          </w:p>
        </w:tc>
        <w:tc>
          <w:tcPr>
            <w:tcW w:w="1774" w:type="dxa"/>
            <w:tcBorders/>
          </w:tcPr>
          <w:p>
            <w:pPr>
              <w:pStyle w:val="Normal"/>
              <w:widowControl/>
              <w:spacing w:before="0" w:after="0"/>
              <w:jc w:val="left"/>
              <w:rPr>
                <w:b/>
              </w:rPr>
            </w:pPr>
            <w:r>
              <w:rPr>
                <w:rFonts w:cs=""/>
                <w:b/>
                <w:kern w:val="0"/>
                <w:sz w:val="22"/>
                <w:szCs w:val="22"/>
                <w:lang w:val="pl-PL" w:eastAsia="en-US" w:bidi="ar-SA"/>
              </w:rPr>
              <w:t>Priorytet 5</w:t>
            </w:r>
          </w:p>
          <w:p>
            <w:pPr>
              <w:pStyle w:val="Normal"/>
              <w:widowControl/>
              <w:spacing w:before="0" w:after="0"/>
              <w:jc w:val="left"/>
              <w:rPr>
                <w:b/>
              </w:rPr>
            </w:pPr>
            <w:r>
              <w:rPr>
                <w:rFonts w:cs=""/>
                <w:kern w:val="0"/>
                <w:sz w:val="22"/>
                <w:szCs w:val="22"/>
                <w:lang w:val="pl-PL" w:eastAsia="en-US" w:bidi="ar-SA"/>
              </w:rPr>
              <w:t>Fundusze Europejskie na wzmacnianie potencjałów endogenicznych regionu</w:t>
            </w:r>
          </w:p>
        </w:tc>
        <w:tc>
          <w:tcPr>
            <w:tcW w:w="2537" w:type="dxa"/>
            <w:tcBorders/>
          </w:tcPr>
          <w:p>
            <w:pPr>
              <w:pStyle w:val="Normal"/>
              <w:widowControl/>
              <w:spacing w:before="0" w:after="0"/>
              <w:jc w:val="left"/>
              <w:rPr>
                <w:b/>
              </w:rPr>
            </w:pPr>
            <w:r>
              <w:rPr>
                <w:rFonts w:cs=""/>
                <w:b/>
                <w:kern w:val="0"/>
                <w:sz w:val="22"/>
                <w:szCs w:val="22"/>
                <w:lang w:val="pl-PL" w:eastAsia="en-US" w:bidi="ar-SA"/>
              </w:rPr>
              <w:t>5(i)</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Wspieranie zintegrowanego</w:t>
              <w:br/>
              <w:t xml:space="preserve"> i sprzyjającego włączeniu społecznemu rozwoju społecznego, gospodarczego</w:t>
              <w:br/>
              <w:t xml:space="preserve"> i środowiskowego, kultury, dziedzictwa naturalnego, zrównoważonej turystyki</w:t>
              <w:br/>
              <w:t xml:space="preserve"> i bezpieczeństwa na obszarach miejskich</w:t>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ZIT-WL-64</w:t>
            </w:r>
            <w:r>
              <w:rPr>
                <w:rFonts w:cs=""/>
                <w:kern w:val="0"/>
                <w:sz w:val="22"/>
                <w:szCs w:val="22"/>
                <w:lang w:val="pl-PL" w:eastAsia="en-US" w:bidi="ar-SA"/>
              </w:rPr>
              <w:t xml:space="preserve"> Uzbrojenie terenów inwestycyjnych w MOF Włocławek - rozwój gospodarczy gminy Choceń – Gmina Choceń</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ZIT-WL-65</w:t>
            </w:r>
            <w:r>
              <w:rPr>
                <w:rFonts w:cs=""/>
                <w:kern w:val="0"/>
                <w:sz w:val="22"/>
                <w:szCs w:val="22"/>
                <w:lang w:val="pl-PL" w:eastAsia="en-US" w:bidi="ar-SA"/>
              </w:rPr>
              <w:t xml:space="preserve"> Uzbrojenie terenów inwestycyjnych gminy Lubień Kujawski – Gmina Lubień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ZIT-WL-66</w:t>
            </w:r>
            <w:r>
              <w:rPr>
                <w:rFonts w:cs=""/>
                <w:kern w:val="0"/>
                <w:sz w:val="22"/>
                <w:szCs w:val="22"/>
                <w:lang w:val="pl-PL" w:eastAsia="en-US" w:bidi="ar-SA"/>
              </w:rPr>
              <w:t xml:space="preserve"> Rozwój kultury na terenie Miasta i Gminy Chodecz – Miasto i Gmina Chodecz</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ZIT-WL-67</w:t>
            </w:r>
            <w:r>
              <w:rPr>
                <w:rFonts w:cs=""/>
                <w:kern w:val="0"/>
                <w:sz w:val="22"/>
                <w:szCs w:val="22"/>
                <w:lang w:val="pl-PL" w:eastAsia="en-US" w:bidi="ar-SA"/>
              </w:rPr>
              <w:t xml:space="preserve"> Budowa i rozbudowa instytucji kultury na terenie gminy Lubraniec – Gmina Lubraniec</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ZIT-WL-68</w:t>
            </w:r>
            <w:r>
              <w:rPr>
                <w:rFonts w:cs=""/>
                <w:kern w:val="0"/>
                <w:sz w:val="22"/>
                <w:szCs w:val="22"/>
                <w:lang w:val="pl-PL" w:eastAsia="en-US" w:bidi="ar-SA"/>
              </w:rPr>
              <w:t xml:space="preserve"> Przebudowa, remont oraz zakup wyposażenia na potrzeby prowadzenia edukacji kulturalnej w Miejsko-Gminnym Centrum Kultury w Izbicy Kujawskiej – Gmina Izbica Kujawska</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ZIT-WL-69</w:t>
            </w:r>
            <w:r>
              <w:rPr>
                <w:rFonts w:cs=""/>
                <w:kern w:val="0"/>
                <w:sz w:val="22"/>
                <w:szCs w:val="22"/>
                <w:lang w:val="pl-PL" w:eastAsia="en-US" w:bidi="ar-SA"/>
              </w:rPr>
              <w:t xml:space="preserve"> Centrum Życia Społecznego - adaptacja Biblioteki Publicznej w miejscowości Grabkowo – Gmina Kowal</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ZIT-WL-70</w:t>
            </w:r>
            <w:r>
              <w:rPr>
                <w:rFonts w:cs=""/>
                <w:kern w:val="0"/>
                <w:sz w:val="22"/>
                <w:szCs w:val="22"/>
                <w:lang w:val="pl-PL" w:eastAsia="en-US" w:bidi="ar-SA"/>
              </w:rPr>
              <w:t xml:space="preserve"> Upowszechnianie działalności kulturowej na terenie Gminy Baruchowo – Gmina Baruchowo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ZIT-WL-71</w:t>
            </w:r>
            <w:r>
              <w:rPr>
                <w:rFonts w:cs=""/>
                <w:kern w:val="0"/>
                <w:sz w:val="22"/>
                <w:szCs w:val="22"/>
                <w:lang w:val="pl-PL" w:eastAsia="en-US" w:bidi="ar-SA"/>
              </w:rPr>
              <w:t xml:space="preserve"> Wsparcie działalności Gminnego Ośrodka Kultury w Lubaniu – Gmina Lubanie</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ZIT-WL-72</w:t>
            </w:r>
            <w:r>
              <w:rPr>
                <w:rFonts w:cs=""/>
                <w:kern w:val="0"/>
                <w:sz w:val="22"/>
                <w:szCs w:val="22"/>
                <w:lang w:val="pl-PL" w:eastAsia="en-US" w:bidi="ar-SA"/>
              </w:rPr>
              <w:t xml:space="preserve"> Doposażenie instytucji kultury – Gmina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ZIT-WL-73</w:t>
            </w:r>
            <w:r>
              <w:rPr>
                <w:rFonts w:cs=""/>
                <w:kern w:val="0"/>
                <w:sz w:val="22"/>
                <w:szCs w:val="22"/>
                <w:lang w:val="pl-PL" w:eastAsia="en-US" w:bidi="ar-SA"/>
              </w:rPr>
              <w:t xml:space="preserve"> Rozwój turystyki na terenie Miasta i Gminy Chodecz – Miasto i Gmina Chodecz</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ZIT-WL-74</w:t>
            </w:r>
            <w:r>
              <w:rPr>
                <w:rFonts w:cs=""/>
                <w:kern w:val="0"/>
                <w:sz w:val="22"/>
                <w:szCs w:val="22"/>
                <w:lang w:val="pl-PL" w:eastAsia="en-US" w:bidi="ar-SA"/>
              </w:rPr>
              <w:t xml:space="preserve"> Rozbudowa infrastruktury turystycznej na terenie gminy Baruchowo – Gmina Baruchowo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ZIT-WL-75</w:t>
            </w:r>
            <w:r>
              <w:rPr>
                <w:rFonts w:cs=""/>
                <w:kern w:val="0"/>
                <w:sz w:val="22"/>
                <w:szCs w:val="22"/>
                <w:lang w:val="pl-PL" w:eastAsia="en-US" w:bidi="ar-SA"/>
              </w:rPr>
              <w:t xml:space="preserve"> Rozwój infrastruktury turystycznej, rekreacyjnej wraz z zakupem wyposażenia i sprzętu na terenie Gminy Izbica Kujawska – Gmina Izbica Kujawska</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ZIT-WL-76</w:t>
            </w:r>
            <w:r>
              <w:rPr>
                <w:rFonts w:cs=""/>
                <w:kern w:val="0"/>
                <w:sz w:val="22"/>
                <w:szCs w:val="22"/>
                <w:lang w:val="pl-PL" w:eastAsia="en-US" w:bidi="ar-SA"/>
              </w:rPr>
              <w:t xml:space="preserve"> Rozwój infrastruktury i promocja oferty turystycznej w Gminie Lubraniec – Gmina Lubraniec</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ZIT-WL-77</w:t>
            </w:r>
            <w:r>
              <w:rPr>
                <w:rFonts w:cs=""/>
                <w:kern w:val="0"/>
                <w:sz w:val="22"/>
                <w:szCs w:val="22"/>
                <w:lang w:val="pl-PL" w:eastAsia="en-US" w:bidi="ar-SA"/>
              </w:rPr>
              <w:t xml:space="preserve"> 3 Maja woonerfem – Gmina Miasto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ZIT-WL-78</w:t>
            </w:r>
            <w:r>
              <w:rPr>
                <w:rFonts w:cs=""/>
                <w:kern w:val="0"/>
                <w:sz w:val="22"/>
                <w:szCs w:val="22"/>
                <w:lang w:val="pl-PL" w:eastAsia="en-US" w:bidi="ar-SA"/>
              </w:rPr>
              <w:t xml:space="preserve"> Odnowa przestrzeni publicznej poprzez modernizację obiektów użyteczności publicznej na potrzeby społeczności lokalnej – Gmina Lubanie</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ZIT-WL-79</w:t>
            </w:r>
            <w:r>
              <w:rPr>
                <w:rFonts w:cs=""/>
                <w:kern w:val="0"/>
                <w:sz w:val="22"/>
                <w:szCs w:val="22"/>
                <w:lang w:val="pl-PL" w:eastAsia="en-US" w:bidi="ar-SA"/>
              </w:rPr>
              <w:t xml:space="preserve"> Odnowa przestrzeni publicznych na terenie gminy Choceń – Gmina Choceń</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ZIT-WL-80</w:t>
            </w:r>
            <w:r>
              <w:rPr>
                <w:rFonts w:cs=""/>
                <w:kern w:val="0"/>
                <w:sz w:val="22"/>
                <w:szCs w:val="22"/>
                <w:lang w:val="pl-PL" w:eastAsia="en-US" w:bidi="ar-SA"/>
              </w:rPr>
              <w:t xml:space="preserve"> Odnowa przestrzeni publicznej w miejscowości Więsławice – Gmina Kowal</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ZIT-WL-81</w:t>
            </w:r>
            <w:r>
              <w:rPr>
                <w:rFonts w:cs=""/>
                <w:kern w:val="0"/>
                <w:sz w:val="22"/>
                <w:szCs w:val="22"/>
                <w:lang w:val="pl-PL" w:eastAsia="en-US" w:bidi="ar-SA"/>
              </w:rPr>
              <w:t xml:space="preserve"> Odnowa przestrzeni publicznej na obszarze miasta Brześć Kujawski – Gmina Brześć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ZIT-WL-82</w:t>
            </w:r>
            <w:r>
              <w:rPr>
                <w:rFonts w:cs=""/>
                <w:kern w:val="0"/>
                <w:sz w:val="22"/>
                <w:szCs w:val="22"/>
                <w:lang w:val="pl-PL" w:eastAsia="en-US" w:bidi="ar-SA"/>
              </w:rPr>
              <w:t xml:space="preserve"> Odnowa przestrzeni publicznych na terenie Miasta i Gminy Chodecz – Miasto i Gmina Chodecz</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ZIT-WL-83</w:t>
            </w:r>
            <w:r>
              <w:rPr>
                <w:rFonts w:cs=""/>
                <w:kern w:val="0"/>
                <w:sz w:val="22"/>
                <w:szCs w:val="22"/>
                <w:lang w:val="pl-PL" w:eastAsia="en-US" w:bidi="ar-SA"/>
              </w:rPr>
              <w:t xml:space="preserve"> Odnowa przestrzeni publicznych na terenie Gminy Izbica Kujawska – Gmina Izbica Kujawska</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ZIT-WL-84</w:t>
            </w:r>
            <w:r>
              <w:rPr>
                <w:rFonts w:cs=""/>
                <w:kern w:val="0"/>
                <w:sz w:val="22"/>
                <w:szCs w:val="22"/>
                <w:lang w:val="pl-PL" w:eastAsia="en-US" w:bidi="ar-SA"/>
              </w:rPr>
              <w:t xml:space="preserve"> Odnowa przestrzeni publicznej w Lubieniu Kujawskim – Gmina Lubień Kujawski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ZIT-WL-85</w:t>
            </w:r>
            <w:r>
              <w:rPr>
                <w:rFonts w:cs=""/>
                <w:kern w:val="0"/>
                <w:sz w:val="22"/>
                <w:szCs w:val="22"/>
                <w:lang w:val="pl-PL" w:eastAsia="en-US" w:bidi="ar-SA"/>
              </w:rPr>
              <w:t xml:space="preserve"> Odnowa przestrzeni publicznej na terenie Parku Kulturowego w Sarnowie – Gmina Lubraniec</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ZIT-WL-86</w:t>
            </w:r>
            <w:r>
              <w:rPr>
                <w:rFonts w:cs=""/>
                <w:kern w:val="0"/>
                <w:sz w:val="22"/>
                <w:szCs w:val="22"/>
                <w:lang w:val="pl-PL" w:eastAsia="en-US" w:bidi="ar-SA"/>
              </w:rPr>
              <w:t xml:space="preserve"> Odnowa przestrzeni publicznej na terenie Gminy Włocławek – Gmina Włocławek</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ZIT-WL-87</w:t>
            </w:r>
            <w:r>
              <w:rPr>
                <w:rFonts w:cs=""/>
                <w:kern w:val="0"/>
                <w:sz w:val="22"/>
                <w:szCs w:val="22"/>
                <w:lang w:val="pl-PL" w:eastAsia="en-US" w:bidi="ar-SA"/>
              </w:rPr>
              <w:t xml:space="preserve"> Rewitalizacja - odnowa przestrzeni publicznej na terenie Gminy Boniewo – Gmina Boniewo</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ZIT-WL-88</w:t>
            </w:r>
            <w:r>
              <w:rPr>
                <w:rFonts w:cs=""/>
                <w:kern w:val="0"/>
                <w:sz w:val="22"/>
                <w:szCs w:val="22"/>
                <w:lang w:val="pl-PL" w:eastAsia="en-US" w:bidi="ar-SA"/>
              </w:rPr>
              <w:t xml:space="preserve"> Odnowa przestrzeni publicznej w gminie Fabianki – Gmina Fabianki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ZIT-WL-89</w:t>
            </w:r>
            <w:r>
              <w:rPr>
                <w:rFonts w:cs=""/>
                <w:kern w:val="0"/>
                <w:sz w:val="22"/>
                <w:szCs w:val="22"/>
                <w:lang w:val="pl-PL" w:eastAsia="en-US" w:bidi="ar-SA"/>
              </w:rPr>
              <w:t xml:space="preserve"> Zagospodarowanie terenów przestrzeni publicznej – Gmina Baruchowo</w:t>
            </w:r>
          </w:p>
        </w:tc>
      </w:tr>
      <w:tr>
        <w:trPr/>
        <w:tc>
          <w:tcPr>
            <w:tcW w:w="2339" w:type="dxa"/>
            <w:tcBorders/>
          </w:tcPr>
          <w:p>
            <w:pPr>
              <w:pStyle w:val="Normal"/>
              <w:widowControl/>
              <w:spacing w:before="0" w:after="0"/>
              <w:jc w:val="left"/>
              <w:rPr>
                <w:b/>
              </w:rPr>
            </w:pPr>
            <w:r>
              <w:rPr>
                <w:rFonts w:cs=""/>
                <w:b/>
                <w:kern w:val="0"/>
                <w:sz w:val="22"/>
                <w:szCs w:val="22"/>
                <w:lang w:val="pl-PL" w:eastAsia="en-US" w:bidi="ar-SA"/>
              </w:rPr>
              <w:t>–</w:t>
            </w:r>
          </w:p>
        </w:tc>
        <w:tc>
          <w:tcPr>
            <w:tcW w:w="1774" w:type="dxa"/>
            <w:tcBorders/>
          </w:tcPr>
          <w:p>
            <w:pPr>
              <w:pStyle w:val="Normal"/>
              <w:widowControl/>
              <w:spacing w:lineRule="auto" w:line="240" w:before="0" w:after="0"/>
              <w:jc w:val="left"/>
              <w:rPr>
                <w:b/>
              </w:rPr>
            </w:pPr>
            <w:r>
              <w:rPr>
                <w:rFonts w:cs=""/>
                <w:b/>
                <w:kern w:val="0"/>
                <w:sz w:val="22"/>
                <w:szCs w:val="22"/>
                <w:lang w:val="pl-PL" w:eastAsia="en-US" w:bidi="ar-SA"/>
              </w:rPr>
              <w:t>Priorytet 9</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Pomoc techniczna (EFRR)</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p>
            <w:pPr>
              <w:pStyle w:val="Normal"/>
              <w:widowControl/>
              <w:spacing w:lineRule="auto" w:line="240" w:before="0" w:after="0"/>
              <w:jc w:val="left"/>
              <w:rPr>
                <w:b/>
              </w:rPr>
            </w:pPr>
            <w:r>
              <w:rPr>
                <w:rFonts w:cs=""/>
                <w:b/>
                <w:kern w:val="0"/>
                <w:sz w:val="22"/>
                <w:szCs w:val="22"/>
                <w:lang w:val="pl-PL" w:eastAsia="en-US" w:bidi="ar-SA"/>
              </w:rPr>
              <w:t>Priorytet 10</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Pomoc techniczna (EFS+)</w:t>
            </w:r>
          </w:p>
        </w:tc>
        <w:tc>
          <w:tcPr>
            <w:tcW w:w="2537" w:type="dxa"/>
            <w:tcBorders/>
          </w:tcPr>
          <w:p>
            <w:pPr>
              <w:pStyle w:val="Normal"/>
              <w:widowControl/>
              <w:spacing w:before="0" w:after="0"/>
              <w:jc w:val="left"/>
              <w:rPr>
                <w:b/>
              </w:rPr>
            </w:pPr>
            <w:r>
              <w:rPr>
                <w:rFonts w:cs=""/>
                <w:b/>
                <w:kern w:val="0"/>
                <w:sz w:val="22"/>
                <w:szCs w:val="22"/>
                <w:lang w:val="pl-PL" w:eastAsia="en-US" w:bidi="ar-SA"/>
              </w:rPr>
              <w:t xml:space="preserve"> –</w:t>
            </w:r>
          </w:p>
        </w:tc>
        <w:tc>
          <w:tcPr>
            <w:tcW w:w="2419"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ZIT-WL-90</w:t>
            </w:r>
            <w:r>
              <w:rPr>
                <w:rFonts w:cs=""/>
                <w:kern w:val="0"/>
                <w:sz w:val="22"/>
                <w:szCs w:val="22"/>
                <w:lang w:val="pl-PL" w:eastAsia="en-US" w:bidi="ar-SA"/>
              </w:rPr>
              <w:t xml:space="preserve"> Wsparcie potencjału administracyjnego Biura Stowarzyszenia WŁOF – Zintegrowane Inwestycje terytorialne Miejskiego Obszaru Funkcjonalnego Włocławka - etap I</w:t>
            </w:r>
          </w:p>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ZIT-WL-91</w:t>
            </w:r>
            <w:r>
              <w:rPr>
                <w:rFonts w:cs=""/>
                <w:kern w:val="0"/>
                <w:sz w:val="22"/>
                <w:szCs w:val="22"/>
                <w:lang w:val="pl-PL" w:eastAsia="en-US" w:bidi="ar-SA"/>
              </w:rPr>
              <w:t xml:space="preserve"> Wsparcie potencjału administracyjnego Biura Stowarzyszenia WŁOF – Zintegrowane Inwestycje terytorialne Miejskiego Obszaru Funkcjonalnego Włocławka - etap II</w:t>
            </w:r>
          </w:p>
        </w:tc>
      </w:tr>
    </w:tbl>
    <w:p>
      <w:pPr>
        <w:pStyle w:val="TytuMAPiTABEL"/>
        <w:rPr>
          <w:color w:val="FF0000"/>
        </w:rPr>
      </w:pPr>
      <w:r>
        <w:rPr>
          <w:color w:val="FF0000"/>
        </w:rPr>
      </w:r>
    </w:p>
    <w:p>
      <w:pPr>
        <w:pStyle w:val="TytuMAPiTABEL"/>
        <w:rPr>
          <w:color w:val="000000" w:themeColor="text1"/>
        </w:rPr>
      </w:pPr>
      <w:r>
        <w:rPr>
          <w:color w:val="000000" w:themeColor="text1"/>
        </w:rPr>
        <w:t>Tabela 18. Wykazanie zgodności planowanej interwencji z celami i priorytetami określonymi w Planie Strategicznym Wspólnej Polityki Rolnej na lata 2023-2027</w:t>
      </w:r>
    </w:p>
    <w:tbl>
      <w:tblPr>
        <w:tblStyle w:val="Tabela-Siatka"/>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3506"/>
        <w:gridCol w:w="2449"/>
        <w:gridCol w:w="3115"/>
      </w:tblGrid>
      <w:tr>
        <w:trPr/>
        <w:tc>
          <w:tcPr>
            <w:tcW w:w="3506" w:type="dxa"/>
            <w:tcBorders/>
            <w:shd w:color="auto" w:fill="76B4F3" w:val="clear"/>
            <w:vAlign w:val="center"/>
          </w:tcPr>
          <w:p>
            <w:pPr>
              <w:pStyle w:val="Normal"/>
              <w:widowControl/>
              <w:spacing w:before="0" w:after="160"/>
              <w:jc w:val="center"/>
              <w:rPr>
                <w:b/>
              </w:rPr>
            </w:pPr>
            <w:r>
              <w:rPr>
                <w:rFonts w:cs=""/>
                <w:b/>
                <w:kern w:val="0"/>
                <w:sz w:val="22"/>
                <w:szCs w:val="22"/>
                <w:lang w:val="pl-PL" w:eastAsia="en-US" w:bidi="ar-SA"/>
              </w:rPr>
              <w:t>Cel Polityki</w:t>
            </w:r>
          </w:p>
        </w:tc>
        <w:tc>
          <w:tcPr>
            <w:tcW w:w="2449" w:type="dxa"/>
            <w:tcBorders/>
            <w:shd w:color="auto" w:fill="76B4F3" w:val="clear"/>
            <w:vAlign w:val="center"/>
          </w:tcPr>
          <w:p>
            <w:pPr>
              <w:pStyle w:val="Normal"/>
              <w:widowControl/>
              <w:spacing w:before="0" w:after="160"/>
              <w:jc w:val="center"/>
              <w:rPr>
                <w:b/>
              </w:rPr>
            </w:pPr>
            <w:r>
              <w:rPr>
                <w:rFonts w:cs=""/>
                <w:b/>
                <w:kern w:val="0"/>
                <w:sz w:val="22"/>
                <w:szCs w:val="22"/>
                <w:lang w:val="pl-PL" w:eastAsia="en-US" w:bidi="ar-SA"/>
              </w:rPr>
              <w:t>Cel szczegółowy</w:t>
            </w:r>
          </w:p>
        </w:tc>
        <w:tc>
          <w:tcPr>
            <w:tcW w:w="3115" w:type="dxa"/>
            <w:tcBorders/>
            <w:shd w:color="auto" w:fill="76B4F3" w:val="clear"/>
            <w:vAlign w:val="center"/>
          </w:tcPr>
          <w:p>
            <w:pPr>
              <w:pStyle w:val="Normal"/>
              <w:widowControl/>
              <w:spacing w:lineRule="auto" w:line="240" w:before="0" w:after="160"/>
              <w:jc w:val="center"/>
              <w:rPr>
                <w:b/>
              </w:rPr>
            </w:pPr>
            <w:r>
              <w:rPr>
                <w:rFonts w:cs=""/>
                <w:b/>
                <w:kern w:val="0"/>
                <w:sz w:val="22"/>
                <w:szCs w:val="22"/>
                <w:lang w:val="pl-PL" w:eastAsia="en-US" w:bidi="ar-SA"/>
              </w:rPr>
              <w:t>Nazwy projektów zgodnych z zakresem wsparcia w ramach celów i priorytetów</w:t>
            </w:r>
          </w:p>
        </w:tc>
      </w:tr>
      <w:tr>
        <w:trPr/>
        <w:tc>
          <w:tcPr>
            <w:tcW w:w="3506" w:type="dxa"/>
            <w:vMerge w:val="restart"/>
            <w:tcBorders/>
          </w:tcPr>
          <w:p>
            <w:pPr>
              <w:pStyle w:val="Normal"/>
              <w:widowControl/>
              <w:spacing w:lineRule="auto" w:line="240" w:before="0" w:after="0"/>
              <w:jc w:val="left"/>
              <w:rPr>
                <w:rFonts w:ascii="Calibri" w:hAnsi="Calibri" w:cs=""/>
                <w:kern w:val="0"/>
                <w:sz w:val="22"/>
                <w:szCs w:val="22"/>
                <w:lang w:val="pl-PL" w:eastAsia="en-US" w:bidi="ar-SA"/>
              </w:rPr>
            </w:pPr>
            <w:r>
              <w:rPr>
                <w:rFonts w:cs=""/>
                <w:b/>
                <w:kern w:val="0"/>
                <w:sz w:val="22"/>
                <w:szCs w:val="22"/>
                <w:lang w:val="pl-PL" w:eastAsia="en-US" w:bidi="ar-SA"/>
              </w:rPr>
              <w:t xml:space="preserve">Cel Polityki: </w:t>
            </w:r>
            <w:r>
              <w:rPr>
                <w:rFonts w:cs=""/>
                <w:bCs/>
                <w:kern w:val="0"/>
                <w:sz w:val="22"/>
                <w:szCs w:val="22"/>
                <w:lang w:val="pl-PL" w:eastAsia="en-US" w:bidi="ar-SA"/>
              </w:rPr>
              <w:t>P</w:t>
            </w:r>
            <w:r>
              <w:rPr>
                <w:rFonts w:cs=""/>
                <w:kern w:val="0"/>
                <w:sz w:val="22"/>
                <w:szCs w:val="22"/>
                <w:lang w:val="pl-PL" w:eastAsia="en-US" w:bidi="ar-SA"/>
              </w:rPr>
              <w:t>oprawa pozycji rolników w łańcuchu wartości, przez wzmocnienie pozycji rolników za pomocą między innymi takich środków jak zacieśnienie współpracy między rolnikami, zwiększenie przejrzystości rynku i zapewnienie skutecznych mechanizmów zwalczania nieuczciwych praktyk handlowych</w:t>
            </w:r>
          </w:p>
        </w:tc>
        <w:tc>
          <w:tcPr>
            <w:tcW w:w="2449" w:type="dxa"/>
            <w:vMerge w:val="restart"/>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2.1 SO3</w:t>
            </w:r>
            <w:r>
              <w:rPr>
                <w:rFonts w:cs=""/>
                <w:kern w:val="0"/>
                <w:sz w:val="22"/>
                <w:szCs w:val="22"/>
                <w:lang w:val="pl-PL" w:eastAsia="en-US" w:bidi="ar-SA"/>
              </w:rPr>
              <w:t xml:space="preserve"> </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Poprawa pozycji rolników w łańcuchu wartości</w:t>
            </w:r>
          </w:p>
        </w:tc>
        <w:tc>
          <w:tcPr>
            <w:tcW w:w="3115" w:type="dxa"/>
            <w:tcBorders/>
          </w:tcPr>
          <w:p>
            <w:pPr>
              <w:pStyle w:val="Normal"/>
              <w:widowControl/>
              <w:spacing w:lineRule="auto" w:line="240" w:before="0" w:after="0"/>
              <w:jc w:val="left"/>
              <w:rPr>
                <w:b/>
                <w:bCs/>
              </w:rPr>
            </w:pPr>
            <w:r>
              <w:rPr>
                <w:rFonts w:cs=""/>
                <w:kern w:val="0"/>
                <w:sz w:val="22"/>
                <w:szCs w:val="22"/>
                <w:lang w:val="pl-PL" w:eastAsia="en-US" w:bidi="ar-SA"/>
              </w:rPr>
              <w:t>„</w:t>
            </w:r>
            <w:r>
              <w:rPr>
                <w:rFonts w:cs=""/>
                <w:b/>
                <w:bCs/>
                <w:kern w:val="0"/>
                <w:sz w:val="22"/>
                <w:szCs w:val="22"/>
                <w:lang w:val="pl-PL" w:eastAsia="en-US" w:bidi="ar-SA"/>
              </w:rPr>
              <w:t>Utworzenie centrum szkoleniowego dla rolników wraz z zapleczem socjalno-sanitarnym w Brześciu Kujawskim przy Alei Władysława Łokietka”</w:t>
            </w:r>
          </w:p>
          <w:p>
            <w:pPr>
              <w:pStyle w:val="Normal"/>
              <w:widowControl/>
              <w:spacing w:lineRule="auto" w:line="240" w:before="0" w:after="0"/>
              <w:jc w:val="left"/>
              <w:rPr>
                <w:b/>
                <w:bCs/>
              </w:rPr>
            </w:pPr>
            <w:r>
              <w:rPr>
                <w:rFonts w:cs=""/>
                <w:kern w:val="0"/>
                <w:sz w:val="22"/>
                <w:szCs w:val="22"/>
                <w:lang w:val="pl-PL" w:eastAsia="en-US" w:bidi="ar-SA"/>
              </w:rPr>
              <w:t xml:space="preserve">Celem projektu będzie utworzenie miejsca  </w:t>
              <w:br/>
              <w:t>z nowoczesnym zapleczem szkoleniowym dla rolników, którzy chcą poszerzyć swoją wiedzę, doskonalić umiejętności   i zdobyć nowe perspektywy w prowadzeniu swojej działalności. Ośrodek oferować będzie szeroką gamę programów szkoleniowych, warsztatów i doradztwa, mających na celu podniesienie kompetencji rolników oraz wspieranie ich rozwoju.</w:t>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t>Realizacja:</w:t>
            </w:r>
          </w:p>
          <w:p>
            <w:pPr>
              <w:pStyle w:val="Normal"/>
              <w:widowControl/>
              <w:spacing w:lineRule="auto" w:line="276" w:before="0" w:after="0"/>
              <w:jc w:val="left"/>
              <w:rPr>
                <w:rFonts w:ascii="Calibri" w:hAnsi="Calibri" w:cs=""/>
                <w:kern w:val="0"/>
                <w:sz w:val="22"/>
                <w:szCs w:val="22"/>
                <w:lang w:val="pl-PL" w:eastAsia="en-US" w:bidi="ar-SA"/>
              </w:rPr>
            </w:pPr>
            <w:r>
              <w:rPr>
                <w:rFonts w:cs=""/>
                <w:kern w:val="0"/>
                <w:sz w:val="22"/>
                <w:szCs w:val="22"/>
                <w:lang w:val="pl-PL" w:eastAsia="en-US" w:bidi="ar-SA"/>
              </w:rPr>
              <w:t>Gmina Brześć Kujawski</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p>
            <w:pPr>
              <w:pStyle w:val="Normal"/>
              <w:widowControl/>
              <w:spacing w:before="0" w:after="0"/>
              <w:jc w:val="left"/>
              <w:rPr>
                <w:rFonts w:ascii="Calibri" w:hAnsi="Calibri" w:cs=""/>
                <w:kern w:val="0"/>
                <w:sz w:val="22"/>
                <w:szCs w:val="22"/>
                <w:lang w:val="pl-PL" w:eastAsia="en-US" w:bidi="ar-SA"/>
              </w:rPr>
            </w:pPr>
            <w:r>
              <w:rPr>
                <w:rFonts w:cs=""/>
                <w:kern w:val="0"/>
                <w:sz w:val="22"/>
                <w:szCs w:val="22"/>
                <w:lang w:val="pl-PL" w:eastAsia="en-US" w:bidi="ar-SA"/>
              </w:rPr>
            </w:r>
          </w:p>
        </w:tc>
      </w:tr>
      <w:tr>
        <w:trPr/>
        <w:tc>
          <w:tcPr>
            <w:tcW w:w="3506" w:type="dxa"/>
            <w:vMerge w:val="continue"/>
            <w:tcBorders/>
          </w:tcPr>
          <w:p>
            <w:pPr>
              <w:pStyle w:val="Normal"/>
              <w:widowControl/>
              <w:spacing w:lineRule="auto" w:line="240" w:before="0" w:after="0"/>
              <w:jc w:val="left"/>
              <w:rPr>
                <w:b/>
              </w:rPr>
            </w:pPr>
            <w:r>
              <w:rPr>
                <w:rFonts w:cs=""/>
                <w:b/>
                <w:kern w:val="0"/>
                <w:sz w:val="22"/>
                <w:szCs w:val="22"/>
                <w:lang w:val="pl-PL" w:eastAsia="en-US" w:bidi="ar-SA"/>
              </w:rPr>
            </w:r>
          </w:p>
        </w:tc>
        <w:tc>
          <w:tcPr>
            <w:tcW w:w="2449" w:type="dxa"/>
            <w:vMerge w:val="continue"/>
            <w:tcBorders/>
          </w:tcPr>
          <w:p>
            <w:pPr>
              <w:pStyle w:val="Normal"/>
              <w:widowControl/>
              <w:spacing w:lineRule="auto" w:line="240" w:before="0" w:after="0"/>
              <w:jc w:val="left"/>
              <w:rPr>
                <w:b/>
                <w:bCs/>
              </w:rPr>
            </w:pPr>
            <w:r>
              <w:rPr>
                <w:rFonts w:cs=""/>
                <w:b/>
                <w:bCs/>
                <w:kern w:val="0"/>
                <w:sz w:val="22"/>
                <w:szCs w:val="22"/>
                <w:lang w:val="pl-PL" w:eastAsia="en-US" w:bidi="ar-SA"/>
              </w:rPr>
            </w:r>
          </w:p>
        </w:tc>
        <w:tc>
          <w:tcPr>
            <w:tcW w:w="3115"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Promocja produktów lokalnych na rynku krajowym</w:t>
              <w:br/>
              <w:t xml:space="preserve"> i rynkach zagranicznych”</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Celem projektu będzie tworzenie grup biorących aktywny udział w targach branżowych oraz przedsięwzięciach nakierowanych na networking w zakresie B2B.</w:t>
            </w:r>
          </w:p>
          <w:p>
            <w:pPr>
              <w:pStyle w:val="Normal"/>
              <w:widowControl/>
              <w:spacing w:lineRule="auto" w:line="276" w:before="0" w:after="0"/>
              <w:jc w:val="left"/>
              <w:rPr>
                <w:rFonts w:ascii="Calibri" w:hAnsi="Calibri" w:cs=""/>
                <w:kern w:val="0"/>
                <w:sz w:val="22"/>
                <w:szCs w:val="22"/>
                <w:lang w:val="pl-PL" w:eastAsia="en-US" w:bidi="ar-SA"/>
              </w:rPr>
            </w:pPr>
            <w:r>
              <w:rPr>
                <w:rFonts w:cs=""/>
                <w:kern w:val="0"/>
                <w:sz w:val="22"/>
                <w:szCs w:val="22"/>
                <w:lang w:val="pl-PL" w:eastAsia="en-US" w:bidi="ar-SA"/>
              </w:rPr>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Realizacja: Gmina Lubraniec</w:t>
            </w:r>
          </w:p>
        </w:tc>
      </w:tr>
      <w:tr>
        <w:trPr/>
        <w:tc>
          <w:tcPr>
            <w:tcW w:w="3506" w:type="dxa"/>
            <w:vMerge w:val="continue"/>
            <w:tcBorders/>
          </w:tcPr>
          <w:p>
            <w:pPr>
              <w:pStyle w:val="Normal"/>
              <w:widowControl/>
              <w:spacing w:lineRule="auto" w:line="240" w:before="0" w:after="0"/>
              <w:jc w:val="left"/>
              <w:rPr>
                <w:b/>
              </w:rPr>
            </w:pPr>
            <w:r>
              <w:rPr>
                <w:rFonts w:cs=""/>
                <w:b/>
                <w:kern w:val="0"/>
                <w:sz w:val="22"/>
                <w:szCs w:val="22"/>
                <w:lang w:val="pl-PL" w:eastAsia="en-US" w:bidi="ar-SA"/>
              </w:rPr>
            </w:r>
          </w:p>
        </w:tc>
        <w:tc>
          <w:tcPr>
            <w:tcW w:w="2449" w:type="dxa"/>
            <w:vMerge w:val="continue"/>
            <w:tcBorders/>
          </w:tcPr>
          <w:p>
            <w:pPr>
              <w:pStyle w:val="Normal"/>
              <w:widowControl/>
              <w:spacing w:lineRule="auto" w:line="240" w:before="0" w:after="0"/>
              <w:jc w:val="left"/>
              <w:rPr>
                <w:b/>
                <w:bCs/>
              </w:rPr>
            </w:pPr>
            <w:r>
              <w:rPr>
                <w:rFonts w:cs=""/>
                <w:b/>
                <w:bCs/>
                <w:kern w:val="0"/>
                <w:sz w:val="22"/>
                <w:szCs w:val="22"/>
                <w:lang w:val="pl-PL" w:eastAsia="en-US" w:bidi="ar-SA"/>
              </w:rPr>
            </w:r>
          </w:p>
        </w:tc>
        <w:tc>
          <w:tcPr>
            <w:tcW w:w="3115"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Rozwój rolnictwa ekologicznego w kierunku produktów funkcyjnych oraz produktów niespożywczych opartych na surowcach roślinnych”</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 xml:space="preserve">Celem projektu będzie rozwój produktów rolniczych o wysokim stopniu przetworzenia (integracja pionowa) w celu uzyskania produktów o wysokiej wartości dodanej (produktów wysokomarżowych) i/lub produktów funkcyjnych dedykowanych dla osób z nietolerancjami pokarmowymi lub osób starszych wymagających dedykowanej diety. </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Realizacja: Gmina Lubraniec</w:t>
            </w:r>
          </w:p>
        </w:tc>
      </w:tr>
    </w:tbl>
    <w:p>
      <w:pPr>
        <w:pStyle w:val="TytuMAPiTABEL"/>
        <w:rPr>
          <w:color w:val="FF0000"/>
        </w:rPr>
      </w:pPr>
      <w:r>
        <w:rPr>
          <w:color w:val="FF0000"/>
        </w:rPr>
      </w:r>
    </w:p>
    <w:p>
      <w:pPr>
        <w:pStyle w:val="TytuMAPiTABEL"/>
        <w:rPr/>
      </w:pPr>
      <w:r>
        <w:rPr/>
        <w:t>Tabela 19. Wykazanie zgodności planowanej interwencji z celami i priorytetami określonymi w programie Fundusze Europejskie dla Kujaw i Pomorza na lata 2021-2027</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2"/>
        <w:gridCol w:w="2154"/>
        <w:gridCol w:w="2392"/>
        <w:gridCol w:w="2391"/>
      </w:tblGrid>
      <w:tr>
        <w:trPr/>
        <w:tc>
          <w:tcPr>
            <w:tcW w:w="2122" w:type="dxa"/>
            <w:tcBorders/>
            <w:shd w:color="auto" w:fill="76B4F3" w:val="clear"/>
          </w:tcPr>
          <w:p>
            <w:pPr>
              <w:pStyle w:val="Normal"/>
              <w:widowControl/>
              <w:spacing w:before="0" w:after="160"/>
              <w:jc w:val="center"/>
              <w:rPr>
                <w:b/>
                <w:bCs/>
              </w:rPr>
            </w:pPr>
            <w:r>
              <w:rPr>
                <w:rFonts w:cs=""/>
                <w:b/>
                <w:bCs/>
                <w:kern w:val="0"/>
                <w:sz w:val="22"/>
                <w:szCs w:val="22"/>
                <w:lang w:val="pl-PL" w:eastAsia="en-US" w:bidi="ar-SA"/>
              </w:rPr>
            </w:r>
          </w:p>
          <w:p>
            <w:pPr>
              <w:pStyle w:val="Normal"/>
              <w:widowControl/>
              <w:spacing w:before="0" w:after="160"/>
              <w:jc w:val="center"/>
              <w:rPr>
                <w:b/>
                <w:bCs/>
              </w:rPr>
            </w:pPr>
            <w:r>
              <w:rPr>
                <w:rFonts w:cs=""/>
                <w:b/>
                <w:bCs/>
                <w:kern w:val="0"/>
                <w:sz w:val="22"/>
                <w:szCs w:val="22"/>
                <w:lang w:val="pl-PL" w:eastAsia="en-US" w:bidi="ar-SA"/>
              </w:rPr>
              <w:t>Cel Polityki</w:t>
            </w:r>
          </w:p>
        </w:tc>
        <w:tc>
          <w:tcPr>
            <w:tcW w:w="2154" w:type="dxa"/>
            <w:tcBorders/>
            <w:shd w:color="auto" w:fill="76B4F3" w:val="clear"/>
          </w:tcPr>
          <w:p>
            <w:pPr>
              <w:pStyle w:val="Normal"/>
              <w:widowControl/>
              <w:spacing w:before="0" w:after="160"/>
              <w:jc w:val="center"/>
              <w:rPr>
                <w:b/>
                <w:bCs/>
              </w:rPr>
            </w:pPr>
            <w:r>
              <w:rPr>
                <w:rFonts w:cs=""/>
                <w:b/>
                <w:bCs/>
                <w:kern w:val="0"/>
                <w:sz w:val="22"/>
                <w:szCs w:val="22"/>
                <w:lang w:val="pl-PL" w:eastAsia="en-US" w:bidi="ar-SA"/>
              </w:rPr>
            </w:r>
          </w:p>
          <w:p>
            <w:pPr>
              <w:pStyle w:val="Normal"/>
              <w:widowControl/>
              <w:spacing w:before="0" w:after="160"/>
              <w:jc w:val="center"/>
              <w:rPr>
                <w:b/>
                <w:bCs/>
              </w:rPr>
            </w:pPr>
            <w:r>
              <w:rPr>
                <w:rFonts w:cs=""/>
                <w:b/>
                <w:bCs/>
                <w:kern w:val="0"/>
                <w:sz w:val="22"/>
                <w:szCs w:val="22"/>
                <w:lang w:val="pl-PL" w:eastAsia="en-US" w:bidi="ar-SA"/>
              </w:rPr>
              <w:t>Priorytet</w:t>
            </w:r>
          </w:p>
        </w:tc>
        <w:tc>
          <w:tcPr>
            <w:tcW w:w="2392" w:type="dxa"/>
            <w:tcBorders/>
            <w:shd w:color="auto" w:fill="76B4F3" w:val="clear"/>
          </w:tcPr>
          <w:p>
            <w:pPr>
              <w:pStyle w:val="Normal"/>
              <w:widowControl/>
              <w:spacing w:before="0" w:after="160"/>
              <w:jc w:val="center"/>
              <w:rPr>
                <w:b/>
                <w:bCs/>
              </w:rPr>
            </w:pPr>
            <w:r>
              <w:rPr>
                <w:rFonts w:cs=""/>
                <w:b/>
                <w:bCs/>
                <w:kern w:val="0"/>
                <w:sz w:val="22"/>
                <w:szCs w:val="22"/>
                <w:lang w:val="pl-PL" w:eastAsia="en-US" w:bidi="ar-SA"/>
              </w:rPr>
            </w:r>
          </w:p>
          <w:p>
            <w:pPr>
              <w:pStyle w:val="Normal"/>
              <w:widowControl/>
              <w:spacing w:before="0" w:after="160"/>
              <w:jc w:val="center"/>
              <w:rPr>
                <w:b/>
                <w:bCs/>
              </w:rPr>
            </w:pPr>
            <w:r>
              <w:rPr>
                <w:rFonts w:cs=""/>
                <w:b/>
                <w:bCs/>
                <w:kern w:val="0"/>
                <w:sz w:val="22"/>
                <w:szCs w:val="22"/>
                <w:lang w:val="pl-PL" w:eastAsia="en-US" w:bidi="ar-SA"/>
              </w:rPr>
              <w:t>Cel szczegółowy</w:t>
            </w:r>
          </w:p>
        </w:tc>
        <w:tc>
          <w:tcPr>
            <w:tcW w:w="2391" w:type="dxa"/>
            <w:tcBorders/>
            <w:shd w:color="auto" w:fill="76B4F3" w:val="clear"/>
          </w:tcPr>
          <w:p>
            <w:pPr>
              <w:pStyle w:val="Normal"/>
              <w:widowControl/>
              <w:spacing w:lineRule="auto" w:line="240" w:before="0" w:after="160"/>
              <w:jc w:val="center"/>
              <w:rPr>
                <w:b/>
                <w:bCs/>
              </w:rPr>
            </w:pPr>
            <w:r>
              <w:rPr>
                <w:rFonts w:cs=""/>
                <w:b/>
                <w:bCs/>
                <w:kern w:val="0"/>
                <w:sz w:val="22"/>
                <w:szCs w:val="22"/>
                <w:lang w:val="pl-PL" w:eastAsia="en-US" w:bidi="ar-SA"/>
              </w:rPr>
              <w:t>Nazwy projektów zgodnych z zakresem wsparcia w ramach celów i priorytetów</w:t>
            </w:r>
          </w:p>
        </w:tc>
      </w:tr>
      <w:tr>
        <w:trPr/>
        <w:tc>
          <w:tcPr>
            <w:tcW w:w="2122" w:type="dxa"/>
            <w:tcBorders/>
          </w:tcPr>
          <w:p>
            <w:pPr>
              <w:pStyle w:val="TytuMAPiTABEL"/>
              <w:widowControl/>
              <w:spacing w:before="0" w:after="0"/>
              <w:jc w:val="left"/>
              <w:rPr>
                <w:rFonts w:eastAsia="Calibri" w:eastAsiaTheme="minorHAnsi"/>
                <w:bCs/>
                <w:sz w:val="22"/>
                <w:szCs w:val="22"/>
              </w:rPr>
            </w:pPr>
            <w:r>
              <w:rPr>
                <w:rFonts w:eastAsia="Calibri" w:eastAsiaTheme="minorHAnsi"/>
                <w:bCs/>
                <w:kern w:val="0"/>
                <w:sz w:val="22"/>
                <w:szCs w:val="22"/>
                <w:lang w:val="pl-PL" w:eastAsia="en-US" w:bidi="ar-SA"/>
              </w:rPr>
              <w:t xml:space="preserve">Cel Polityki 1  </w:t>
            </w:r>
          </w:p>
          <w:p>
            <w:pPr>
              <w:pStyle w:val="TytuMAPiTABEL"/>
              <w:widowControl/>
              <w:spacing w:before="0" w:after="0"/>
              <w:jc w:val="left"/>
              <w:rPr>
                <w:rFonts w:eastAsia="Calibri" w:eastAsiaTheme="minorHAnsi"/>
                <w:b w:val="false"/>
                <w:sz w:val="22"/>
                <w:szCs w:val="22"/>
              </w:rPr>
            </w:pPr>
            <w:r>
              <w:rPr>
                <w:rFonts w:eastAsia="Calibri" w:eastAsiaTheme="minorHAnsi"/>
                <w:b w:val="false"/>
                <w:kern w:val="0"/>
                <w:sz w:val="22"/>
                <w:szCs w:val="22"/>
                <w:lang w:val="pl-PL" w:eastAsia="en-US" w:bidi="ar-SA"/>
              </w:rPr>
              <w:t>Bardziej konkurencyjna i inteligentna Europa dzięki wspieraniu innowacyjnej</w:t>
            </w:r>
          </w:p>
          <w:p>
            <w:pPr>
              <w:pStyle w:val="TytuMAPiTABEL"/>
              <w:widowControl/>
              <w:spacing w:before="0" w:after="0"/>
              <w:jc w:val="left"/>
              <w:rPr>
                <w:rFonts w:eastAsia="Calibri" w:eastAsiaTheme="minorHAnsi"/>
                <w:b w:val="false"/>
                <w:sz w:val="22"/>
                <w:szCs w:val="22"/>
              </w:rPr>
            </w:pPr>
            <w:r>
              <w:rPr>
                <w:rFonts w:eastAsia="Calibri" w:eastAsiaTheme="minorHAnsi"/>
                <w:b w:val="false"/>
                <w:kern w:val="0"/>
                <w:sz w:val="22"/>
                <w:szCs w:val="22"/>
                <w:lang w:val="pl-PL" w:eastAsia="en-US" w:bidi="ar-SA"/>
              </w:rPr>
              <w:t>i inteligentnej transformacji gospodarczej oraz regionalnej łączności cyfrowej</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tcBorders/>
          </w:tcPr>
          <w:p>
            <w:pPr>
              <w:pStyle w:val="TytuMAPiTABEL"/>
              <w:widowControl/>
              <w:spacing w:before="0" w:after="0"/>
              <w:rPr>
                <w:rFonts w:eastAsia="Calibri" w:eastAsiaTheme="minorHAnsi"/>
                <w:bCs/>
                <w:sz w:val="22"/>
                <w:szCs w:val="22"/>
              </w:rPr>
            </w:pPr>
            <w:r>
              <w:rPr>
                <w:rFonts w:eastAsia="Calibri" w:eastAsiaTheme="minorHAnsi"/>
                <w:bCs/>
                <w:kern w:val="0"/>
                <w:sz w:val="22"/>
                <w:szCs w:val="22"/>
                <w:lang w:val="pl-PL" w:eastAsia="en-US" w:bidi="ar-SA"/>
              </w:rPr>
              <w:t>Priorytet 1</w:t>
            </w:r>
          </w:p>
          <w:p>
            <w:pPr>
              <w:pStyle w:val="TytuMAPiTABEL"/>
              <w:widowControl/>
              <w:spacing w:before="0" w:after="0"/>
              <w:rPr>
                <w:rFonts w:eastAsia="Calibri" w:eastAsiaTheme="minorHAnsi"/>
                <w:b w:val="false"/>
                <w:sz w:val="22"/>
                <w:szCs w:val="22"/>
              </w:rPr>
            </w:pPr>
            <w:r>
              <w:rPr>
                <w:rFonts w:eastAsia="Calibri" w:eastAsiaTheme="minorHAnsi"/>
                <w:b w:val="false"/>
                <w:kern w:val="0"/>
                <w:sz w:val="22"/>
                <w:szCs w:val="22"/>
                <w:lang w:val="pl-PL" w:eastAsia="en-US" w:bidi="ar-SA"/>
              </w:rPr>
              <w:t>Fundusze europejskie na rzecz wzrostu</w:t>
            </w:r>
          </w:p>
          <w:p>
            <w:pPr>
              <w:pStyle w:val="TytuMAPiTABEL"/>
              <w:widowControl/>
              <w:spacing w:before="0" w:after="0"/>
              <w:jc w:val="left"/>
              <w:rPr>
                <w:rFonts w:eastAsia="Calibri" w:eastAsiaTheme="minorHAnsi"/>
                <w:b w:val="false"/>
                <w:sz w:val="22"/>
                <w:szCs w:val="22"/>
              </w:rPr>
            </w:pPr>
            <w:r>
              <w:rPr>
                <w:rFonts w:eastAsia="Calibri" w:eastAsiaTheme="minorHAnsi"/>
                <w:b w:val="false"/>
                <w:kern w:val="0"/>
                <w:sz w:val="22"/>
                <w:szCs w:val="22"/>
                <w:lang w:val="pl-PL" w:eastAsia="en-US" w:bidi="ar-SA"/>
              </w:rPr>
              <w:t>innowacyjności i konkurencyjności regionu</w:t>
            </w:r>
          </w:p>
          <w:p>
            <w:pPr>
              <w:pStyle w:val="TytuMAPiTABEL"/>
              <w:widowControl/>
              <w:spacing w:before="0" w:after="0"/>
              <w:jc w:val="left"/>
              <w:rPr>
                <w:rFonts w:eastAsia="Calibri" w:eastAsiaTheme="minorHAnsi"/>
                <w:b w:val="false"/>
                <w:sz w:val="22"/>
                <w:szCs w:val="22"/>
              </w:rPr>
            </w:pPr>
            <w:r>
              <w:rPr>
                <w:rFonts w:eastAsia="Calibri" w:eastAsiaTheme="minorHAnsi"/>
                <w:b w:val="false"/>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1(iii)</w:t>
            </w:r>
            <w:r>
              <w:rPr>
                <w:b w:val="false"/>
                <w:kern w:val="0"/>
                <w:sz w:val="22"/>
                <w:szCs w:val="22"/>
                <w:lang w:val="pl-PL" w:eastAsia="en-US" w:bidi="ar-SA"/>
              </w:rPr>
              <w:t xml:space="preserve"> </w:t>
            </w:r>
          </w:p>
          <w:p>
            <w:pPr>
              <w:pStyle w:val="TytuMAPiTABEL"/>
              <w:widowControl/>
              <w:spacing w:before="0" w:after="0"/>
              <w:jc w:val="left"/>
              <w:rPr>
                <w:b w:val="false"/>
                <w:sz w:val="22"/>
                <w:szCs w:val="22"/>
              </w:rPr>
            </w:pPr>
            <w:r>
              <w:rPr>
                <w:b w:val="false"/>
                <w:kern w:val="0"/>
                <w:sz w:val="22"/>
                <w:szCs w:val="22"/>
                <w:lang w:val="pl-PL" w:eastAsia="en-US" w:bidi="ar-SA"/>
              </w:rPr>
              <w:t xml:space="preserve"> </w:t>
            </w:r>
            <w:r>
              <w:rPr>
                <w:b w:val="false"/>
                <w:kern w:val="0"/>
                <w:sz w:val="22"/>
                <w:szCs w:val="22"/>
                <w:lang w:val="pl-PL" w:eastAsia="en-US" w:bidi="ar-SA"/>
              </w:rPr>
              <w:t>Wzmacnianie trwałego wzrostu i konkurencyjności MŚP oraz tworzenie miejsc pracy w MŚP, w tym poprzez inwestycje produkcyjne</w:t>
            </w:r>
          </w:p>
          <w:p>
            <w:pPr>
              <w:pStyle w:val="TytuMAPiTABEL"/>
              <w:widowControl/>
              <w:spacing w:before="0" w:after="0"/>
              <w:jc w:val="left"/>
              <w:rPr>
                <w:b w:val="false"/>
                <w:sz w:val="22"/>
                <w:szCs w:val="22"/>
              </w:rPr>
            </w:pPr>
            <w:r>
              <w:rPr>
                <w:b w:val="false"/>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1" w:type="dxa"/>
            <w:tcBorders/>
          </w:tcPr>
          <w:p>
            <w:pPr>
              <w:pStyle w:val="Normal"/>
              <w:widowControl/>
              <w:spacing w:lineRule="auto" w:line="240" w:before="0" w:after="160"/>
              <w:jc w:val="left"/>
              <w:rPr>
                <w:rFonts w:cs="Calibri" w:cstheme="minorHAnsi"/>
              </w:rPr>
            </w:pPr>
            <w:r>
              <w:rPr>
                <w:rFonts w:cs="Calibri" w:cstheme="minorHAnsi"/>
                <w:b/>
                <w:bCs/>
                <w:kern w:val="0"/>
                <w:sz w:val="22"/>
                <w:szCs w:val="22"/>
                <w:lang w:val="pl-PL" w:eastAsia="en-US" w:bidi="ar-SA"/>
              </w:rPr>
              <w:t>„</w:t>
            </w:r>
            <w:r>
              <w:rPr>
                <w:rFonts w:cs="Calibri" w:cstheme="minorHAnsi"/>
                <w:b/>
                <w:bCs/>
                <w:kern w:val="0"/>
                <w:sz w:val="22"/>
                <w:szCs w:val="22"/>
                <w:lang w:val="pl-PL" w:eastAsia="en-US" w:bidi="ar-SA"/>
              </w:rPr>
              <w:t xml:space="preserve">Profesjonalizacja usług Włocławskiego Centrum Biznesu” </w:t>
            </w:r>
            <w:r>
              <w:rPr>
                <w:rFonts w:cs="Calibri" w:cstheme="minorHAnsi"/>
                <w:kern w:val="0"/>
                <w:sz w:val="22"/>
                <w:szCs w:val="22"/>
                <w:lang w:val="pl-PL" w:eastAsia="en-US" w:bidi="ar-SA"/>
              </w:rPr>
              <w:t>Projekt dotyczy profesjonalizacji IOB,  związany jest ze szkoleniem kadry, testowaniem</w:t>
              <w:br/>
              <w:t xml:space="preserve"> i wdrożeniem nowych usług o charakterze zaawansowanym</w:t>
              <w:br/>
              <w:t xml:space="preserve"> i specjalistycznym.</w:t>
            </w:r>
          </w:p>
          <w:p>
            <w:pPr>
              <w:pStyle w:val="Normal"/>
              <w:widowControl/>
              <w:spacing w:lineRule="auto" w:line="240" w:before="0" w:after="160"/>
              <w:jc w:val="left"/>
              <w:rPr>
                <w:rFonts w:ascii="Calibri" w:hAnsi="Calibri"/>
                <w:kern w:val="0"/>
                <w:sz w:val="22"/>
                <w:szCs w:val="22"/>
                <w:lang w:val="pl-PL" w:eastAsia="en-US" w:bidi="ar-SA"/>
              </w:rPr>
            </w:pPr>
            <w:r>
              <w:rPr>
                <w:rFonts w:cs="Calibri" w:cstheme="minorHAnsi"/>
                <w:kern w:val="0"/>
                <w:sz w:val="22"/>
                <w:szCs w:val="22"/>
                <w:lang w:val="pl-PL" w:eastAsia="en-US" w:bidi="ar-SA"/>
              </w:rPr>
              <w:t>Realizacja: Włocławskie centrum Biznesu</w:t>
            </w:r>
          </w:p>
        </w:tc>
      </w:tr>
      <w:tr>
        <w:trPr/>
        <w:tc>
          <w:tcPr>
            <w:tcW w:w="2122" w:type="dxa"/>
            <w:vMerge w:val="restart"/>
            <w:tcBorders/>
          </w:tcPr>
          <w:p>
            <w:pPr>
              <w:pStyle w:val="TytuMAPiTABEL"/>
              <w:widowControl/>
              <w:spacing w:before="0" w:after="0"/>
              <w:rPr>
                <w:bCs/>
                <w:sz w:val="22"/>
                <w:szCs w:val="22"/>
              </w:rPr>
            </w:pPr>
            <w:r>
              <w:rPr>
                <w:bCs/>
                <w:kern w:val="0"/>
                <w:sz w:val="22"/>
                <w:szCs w:val="22"/>
                <w:lang w:val="pl-PL" w:eastAsia="en-US" w:bidi="ar-SA"/>
              </w:rPr>
              <w:t xml:space="preserve">Cel Polityki CP2  </w:t>
            </w:r>
          </w:p>
          <w:p>
            <w:pPr>
              <w:pStyle w:val="TytuMAPiTABEL"/>
              <w:widowControl/>
              <w:spacing w:before="0" w:after="0"/>
              <w:jc w:val="left"/>
              <w:rPr>
                <w:b w:val="false"/>
                <w:sz w:val="22"/>
                <w:szCs w:val="22"/>
              </w:rPr>
            </w:pPr>
            <w:r>
              <w:rPr>
                <w:b w:val="false"/>
                <w:kern w:val="0"/>
                <w:sz w:val="22"/>
                <w:szCs w:val="22"/>
                <w:lang w:val="pl-PL" w:eastAsia="en-US" w:bidi="ar-SA"/>
              </w:rPr>
              <w:t>Bardziej przyjazna dla środowiska, niskoemisyjna</w:t>
              <w:br/>
              <w:t>i przechodząca</w:t>
              <w:br/>
              <w:t>w kierunku</w:t>
            </w:r>
          </w:p>
          <w:p>
            <w:pPr>
              <w:pStyle w:val="TytuMAPiTABEL"/>
              <w:widowControl/>
              <w:spacing w:before="0" w:after="0"/>
              <w:jc w:val="left"/>
              <w:rPr>
                <w:b w:val="false"/>
                <w:sz w:val="22"/>
                <w:szCs w:val="22"/>
              </w:rPr>
            </w:pPr>
            <w:r>
              <w:rPr>
                <w:b w:val="false"/>
                <w:kern w:val="0"/>
                <w:sz w:val="22"/>
                <w:szCs w:val="22"/>
                <w:lang w:val="pl-PL" w:eastAsia="en-US" w:bidi="ar-SA"/>
              </w:rPr>
              <w:t>gospodarki zeroemisyjnej oraz odporna Europa dzięki promowaniu czystej</w:t>
              <w:br/>
              <w:t xml:space="preserve"> i sprawiedliwej transformacji energetycznej, zielonych i niebieskich inwestycji,</w:t>
            </w:r>
          </w:p>
          <w:p>
            <w:pPr>
              <w:pStyle w:val="TytuMAPiTABEL"/>
              <w:widowControl/>
              <w:spacing w:before="0" w:after="0"/>
              <w:jc w:val="left"/>
              <w:rPr>
                <w:b w:val="false"/>
                <w:sz w:val="22"/>
                <w:szCs w:val="22"/>
              </w:rPr>
            </w:pPr>
            <w:r>
              <w:rPr>
                <w:b w:val="false"/>
                <w:kern w:val="0"/>
                <w:sz w:val="22"/>
                <w:szCs w:val="22"/>
                <w:lang w:val="pl-PL" w:eastAsia="en-US" w:bidi="ar-SA"/>
              </w:rPr>
              <w:t>gospodarki o obiegu zamkniętym, łagodzenia zmian klimatu</w:t>
              <w:br/>
              <w:t xml:space="preserve"> i przystosowania się</w:t>
            </w:r>
          </w:p>
          <w:p>
            <w:pPr>
              <w:pStyle w:val="TytuMAPiTABEL"/>
              <w:widowControl/>
              <w:spacing w:before="0" w:after="0"/>
              <w:jc w:val="left"/>
              <w:rPr>
                <w:b w:val="false"/>
                <w:sz w:val="22"/>
                <w:szCs w:val="22"/>
              </w:rPr>
            </w:pPr>
            <w:r>
              <w:rPr>
                <w:b w:val="false"/>
                <w:kern w:val="0"/>
                <w:sz w:val="22"/>
                <w:szCs w:val="22"/>
                <w:lang w:val="pl-PL" w:eastAsia="en-US" w:bidi="ar-SA"/>
              </w:rPr>
              <w:t>do nich, zapobiegania ryzyku i zarządzania ryzykiem, oraz zrównoważonej</w:t>
            </w:r>
          </w:p>
          <w:p>
            <w:pPr>
              <w:pStyle w:val="TytuMAPiTABEL"/>
              <w:widowControl/>
              <w:spacing w:before="0" w:after="0"/>
              <w:jc w:val="left"/>
              <w:rPr>
                <w:b w:val="false"/>
                <w:sz w:val="22"/>
                <w:szCs w:val="22"/>
              </w:rPr>
            </w:pPr>
            <w:r>
              <w:rPr>
                <w:b w:val="false"/>
                <w:kern w:val="0"/>
                <w:sz w:val="22"/>
                <w:szCs w:val="22"/>
                <w:lang w:val="pl-PL" w:eastAsia="en-US" w:bidi="ar-SA"/>
              </w:rPr>
              <w:t>mobilności miejskiej</w:t>
            </w:r>
          </w:p>
          <w:p>
            <w:pPr>
              <w:pStyle w:val="TytuMAPiTABEL"/>
              <w:widowControl/>
              <w:spacing w:before="0" w:after="0"/>
              <w:rPr>
                <w:bCs/>
                <w:sz w:val="22"/>
                <w:szCs w:val="22"/>
              </w:rPr>
            </w:pPr>
            <w:r>
              <w:rPr>
                <w:bCs/>
                <w:kern w:val="0"/>
                <w:sz w:val="22"/>
                <w:szCs w:val="22"/>
                <w:lang w:val="pl-PL" w:eastAsia="en-US" w:bidi="ar-SA"/>
              </w:rPr>
            </w:r>
          </w:p>
          <w:p>
            <w:pPr>
              <w:pStyle w:val="TytuMAPiTABEL"/>
              <w:widowControl/>
              <w:spacing w:before="0" w:after="0"/>
              <w:rPr>
                <w:bCs/>
                <w:sz w:val="22"/>
                <w:szCs w:val="22"/>
              </w:rPr>
            </w:pPr>
            <w:r>
              <w:rPr>
                <w:bCs/>
                <w:kern w:val="0"/>
                <w:sz w:val="22"/>
                <w:szCs w:val="22"/>
                <w:lang w:val="pl-PL" w:eastAsia="en-US" w:bidi="ar-SA"/>
              </w:rPr>
            </w:r>
          </w:p>
          <w:p>
            <w:pPr>
              <w:pStyle w:val="TytuMAPiTABEL"/>
              <w:widowControl/>
              <w:spacing w:before="0" w:after="0"/>
              <w:rPr>
                <w:bCs/>
                <w:sz w:val="22"/>
                <w:szCs w:val="22"/>
              </w:rPr>
            </w:pPr>
            <w:r>
              <w:rPr>
                <w:bCs/>
                <w:kern w:val="0"/>
                <w:sz w:val="22"/>
                <w:szCs w:val="22"/>
                <w:lang w:val="pl-PL" w:eastAsia="en-US" w:bidi="ar-SA"/>
              </w:rPr>
            </w:r>
          </w:p>
          <w:p>
            <w:pPr>
              <w:pStyle w:val="TytuMAPiTABEL"/>
              <w:widowControl/>
              <w:spacing w:before="0" w:after="0"/>
              <w:rPr>
                <w:bCs/>
                <w:sz w:val="22"/>
                <w:szCs w:val="22"/>
              </w:rPr>
            </w:pPr>
            <w:r>
              <w:rPr>
                <w:bCs/>
                <w:kern w:val="0"/>
                <w:sz w:val="22"/>
                <w:szCs w:val="22"/>
                <w:lang w:val="pl-PL" w:eastAsia="en-US" w:bidi="ar-SA"/>
              </w:rPr>
            </w:r>
          </w:p>
          <w:p>
            <w:pPr>
              <w:pStyle w:val="TytuMAPiTABEL"/>
              <w:widowControl/>
              <w:spacing w:before="0" w:after="0"/>
              <w:rPr>
                <w:bCs/>
                <w:sz w:val="22"/>
                <w:szCs w:val="22"/>
              </w:rPr>
            </w:pPr>
            <w:r>
              <w:rPr>
                <w:bCs/>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restart"/>
            <w:tcBorders/>
          </w:tcPr>
          <w:p>
            <w:pPr>
              <w:pStyle w:val="TytuMAPiTABEL"/>
              <w:widowControl/>
              <w:spacing w:before="0" w:after="0"/>
              <w:jc w:val="left"/>
              <w:rPr>
                <w:b w:val="false"/>
                <w:sz w:val="22"/>
                <w:szCs w:val="22"/>
              </w:rPr>
            </w:pPr>
            <w:r>
              <w:rPr>
                <w:bCs/>
                <w:kern w:val="0"/>
                <w:sz w:val="22"/>
                <w:szCs w:val="22"/>
                <w:lang w:val="pl-PL" w:eastAsia="en-US" w:bidi="ar-SA"/>
              </w:rPr>
              <w:t xml:space="preserve">Priorytet 2 </w:t>
            </w:r>
          </w:p>
          <w:p>
            <w:pPr>
              <w:pStyle w:val="TytuMAPiTABEL"/>
              <w:widowControl/>
              <w:spacing w:before="0" w:after="0"/>
              <w:jc w:val="left"/>
              <w:rPr>
                <w:b w:val="false"/>
                <w:sz w:val="22"/>
                <w:szCs w:val="22"/>
              </w:rPr>
            </w:pPr>
            <w:r>
              <w:rPr>
                <w:b w:val="false"/>
                <w:kern w:val="0"/>
                <w:sz w:val="22"/>
                <w:szCs w:val="22"/>
                <w:lang w:val="pl-PL" w:eastAsia="en-US" w:bidi="ar-SA"/>
              </w:rPr>
              <w:t>Fundusze europejskie dla czystej energii</w:t>
              <w:br/>
              <w:t xml:space="preserve"> i ochrony zasobów środowiska regionu</w:t>
            </w:r>
          </w:p>
          <w:p>
            <w:pPr>
              <w:pStyle w:val="TytuMAPiTABEL"/>
              <w:widowControl/>
              <w:spacing w:before="0" w:after="0"/>
              <w:jc w:val="left"/>
              <w:rPr>
                <w:b w:val="false"/>
                <w:sz w:val="22"/>
                <w:szCs w:val="22"/>
              </w:rPr>
            </w:pPr>
            <w:r>
              <w:rPr>
                <w:b w:val="false"/>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 xml:space="preserve">2(i) </w:t>
            </w:r>
          </w:p>
          <w:p>
            <w:pPr>
              <w:pStyle w:val="TytuMAPiTABEL"/>
              <w:widowControl/>
              <w:spacing w:before="0" w:after="0"/>
              <w:jc w:val="left"/>
              <w:rPr>
                <w:b w:val="false"/>
                <w:sz w:val="22"/>
                <w:szCs w:val="22"/>
              </w:rPr>
            </w:pPr>
            <w:r>
              <w:rPr>
                <w:b w:val="false"/>
                <w:kern w:val="0"/>
                <w:sz w:val="22"/>
                <w:szCs w:val="22"/>
                <w:lang w:val="pl-PL" w:eastAsia="en-US" w:bidi="ar-SA"/>
              </w:rPr>
              <w:t>Wspieranie efektywności energetycznej</w:t>
              <w:br/>
              <w:t>i redukcji emisji gazów cieplarnianych</w:t>
            </w:r>
          </w:p>
          <w:p>
            <w:pPr>
              <w:pStyle w:val="TytuMAPiTABEL"/>
              <w:widowControl/>
              <w:spacing w:before="0" w:after="0"/>
              <w:jc w:val="left"/>
              <w:rPr>
                <w:b w:val="false"/>
                <w:sz w:val="22"/>
                <w:szCs w:val="22"/>
              </w:rPr>
            </w:pPr>
            <w:r>
              <w:rPr>
                <w:b w:val="false"/>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1"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Dekarbonizacja systemu ciepłowniczego-sieć V generacji”</w:t>
            </w:r>
          </w:p>
          <w:p>
            <w:pPr>
              <w:pStyle w:val="Normal"/>
              <w:widowControl/>
              <w:spacing w:lineRule="auto" w:line="240" w:before="0" w:after="0"/>
              <w:jc w:val="left"/>
              <w:rPr>
                <w:b/>
                <w:bCs/>
              </w:rPr>
            </w:pPr>
            <w:r>
              <w:rPr>
                <w:rFonts w:cs=""/>
                <w:kern w:val="0"/>
                <w:sz w:val="22"/>
                <w:szCs w:val="22"/>
                <w:lang w:val="pl-PL" w:eastAsia="en-US" w:bidi="ar-SA"/>
              </w:rPr>
              <w:t xml:space="preserve">Projekt będzie polegał na wydzieleniu z sieci ciepłowniczej zasilanej z ciepłowni węglowej obszaru powyżej 5MW mocy zamówionej, celem osiągnięcia statusu efektywnego systemu ciepłowniczego wykorzystującego energię ze źródeł odnawialnych (i jeżeli będzie możliwe, także ciepło odpadowe) </w:t>
              <w:br/>
              <w:t>z wykorzystaniem magazynów energii oraz modernizacji istniejącej sieci w celu zwiększenia jej efektywności energetycznej. Realizacja projektu pozwoli na całkowite odejście od paliw kopalnych na wydzielonym obszarze, redukcję emisji CO2 oraz zwiększenie efektywności energetycznej. Projekt jest elementem Strategii Rozwoju Miasta Włocławek 2030+ w zakresie dekarbonizacji systemu ciepłowniczego.</w:t>
            </w:r>
          </w:p>
          <w:p>
            <w:pPr>
              <w:pStyle w:val="Normal"/>
              <w:widowControl/>
              <w:spacing w:lineRule="auto" w:line="240" w:before="0" w:after="160"/>
              <w:jc w:val="left"/>
              <w:rPr>
                <w:rFonts w:cs="Calibri" w:cstheme="minorHAnsi"/>
              </w:rPr>
            </w:pPr>
            <w:r>
              <w:rPr>
                <w:rFonts w:cs="Calibri" w:cstheme="minorHAnsi"/>
                <w:kern w:val="0"/>
                <w:sz w:val="22"/>
                <w:szCs w:val="22"/>
                <w:lang w:val="pl-PL" w:eastAsia="en-US" w:bidi="ar-SA"/>
              </w:rPr>
              <w:t>Realizacja: Gmina Miasto Włocławek</w:t>
            </w:r>
          </w:p>
        </w:tc>
      </w:tr>
      <w:tr>
        <w:trPr/>
        <w:tc>
          <w:tcPr>
            <w:tcW w:w="2122" w:type="dxa"/>
            <w:vMerge w:val="continue"/>
            <w:tcBorders/>
          </w:tcPr>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 xml:space="preserve">2(i) </w:t>
            </w:r>
          </w:p>
          <w:p>
            <w:pPr>
              <w:pStyle w:val="TytuMAPiTABEL"/>
              <w:widowControl/>
              <w:spacing w:before="0" w:after="0"/>
              <w:jc w:val="left"/>
              <w:rPr>
                <w:b w:val="false"/>
                <w:sz w:val="22"/>
                <w:szCs w:val="22"/>
              </w:rPr>
            </w:pPr>
            <w:r>
              <w:rPr>
                <w:b w:val="false"/>
                <w:kern w:val="0"/>
                <w:sz w:val="22"/>
                <w:szCs w:val="22"/>
                <w:lang w:val="pl-PL" w:eastAsia="en-US" w:bidi="ar-SA"/>
              </w:rPr>
              <w:t>Wspieranie efektywności energetycznej</w:t>
              <w:br/>
              <w:t>i redukcji emisji gazów cieplarnianych</w:t>
            </w:r>
          </w:p>
          <w:p>
            <w:pPr>
              <w:pStyle w:val="TytuMAPiTABEL"/>
              <w:widowControl/>
              <w:spacing w:before="0" w:after="0"/>
              <w:jc w:val="left"/>
              <w:rPr>
                <w:b w:val="false"/>
                <w:sz w:val="22"/>
                <w:szCs w:val="22"/>
              </w:rPr>
            </w:pPr>
            <w:r>
              <w:rPr>
                <w:b w:val="false"/>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1" w:type="dxa"/>
            <w:tcBorders/>
          </w:tcPr>
          <w:p>
            <w:pPr>
              <w:pStyle w:val="Normal"/>
              <w:widowControl/>
              <w:spacing w:lineRule="auto" w:line="240" w:before="0" w:after="160"/>
              <w:jc w:val="left"/>
              <w:rPr>
                <w:rFonts w:ascii="Calibri" w:hAnsi="Calibri"/>
                <w:kern w:val="0"/>
                <w:sz w:val="22"/>
                <w:szCs w:val="22"/>
                <w:lang w:val="pl-PL" w:eastAsia="en-US" w:bidi="ar-SA"/>
              </w:rPr>
            </w:pPr>
            <w:r>
              <w:rPr>
                <w:rFonts w:eastAsia="MS Mincho" w:cs="Calibri" w:cstheme="minorHAnsi"/>
                <w:iCs/>
                <w:kern w:val="0"/>
                <w:sz w:val="22"/>
                <w:szCs w:val="22"/>
                <w:lang w:val="pl-PL" w:eastAsia="en-US" w:bidi="ar-SA"/>
              </w:rPr>
              <w:t>„</w:t>
            </w:r>
            <w:r>
              <w:rPr>
                <w:rFonts w:cs=""/>
                <w:b/>
                <w:bCs/>
                <w:kern w:val="0"/>
                <w:sz w:val="22"/>
                <w:szCs w:val="22"/>
                <w:lang w:val="pl-PL" w:eastAsia="en-US" w:bidi="ar-SA"/>
              </w:rPr>
              <w:t xml:space="preserve">Termomodernizacja budynków użyteczności publicznej na terenie miasta Włocławek” </w:t>
            </w:r>
            <w:r>
              <w:rPr>
                <w:rFonts w:cs=""/>
                <w:kern w:val="0"/>
                <w:sz w:val="22"/>
                <w:szCs w:val="22"/>
                <w:lang w:val="pl-PL" w:eastAsia="en-US" w:bidi="ar-SA"/>
              </w:rPr>
              <w:t>Projekt będzie polegał na kompleksowej</w:t>
              <w:br/>
              <w:t xml:space="preserve">i głębokiej modernizacji energetycznej budynków użyteczności publicznej. </w:t>
            </w:r>
          </w:p>
          <w:p>
            <w:pPr>
              <w:pStyle w:val="Normal"/>
              <w:widowControl/>
              <w:spacing w:lineRule="auto" w:line="240" w:before="0" w:after="160"/>
              <w:jc w:val="left"/>
              <w:rPr>
                <w:rFonts w:cs="Calibri" w:cstheme="minorHAnsi"/>
              </w:rPr>
            </w:pPr>
            <w:r>
              <w:rPr>
                <w:rFonts w:cs="Calibri" w:cstheme="minorHAnsi"/>
                <w:kern w:val="0"/>
                <w:sz w:val="22"/>
                <w:szCs w:val="22"/>
                <w:lang w:val="pl-PL" w:eastAsia="en-US" w:bidi="ar-SA"/>
              </w:rPr>
              <w:t>Realizacja: Gmina Miasto Włocławek</w:t>
            </w:r>
          </w:p>
        </w:tc>
      </w:tr>
      <w:tr>
        <w:trPr/>
        <w:tc>
          <w:tcPr>
            <w:tcW w:w="2122" w:type="dxa"/>
            <w:vMerge w:val="continue"/>
            <w:tcBorders/>
          </w:tcPr>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Normal"/>
              <w:widowControl/>
              <w:spacing w:lineRule="auto" w:line="240" w:before="0" w:after="0"/>
              <w:jc w:val="left"/>
              <w:rPr>
                <w:rFonts w:eastAsia="MS Mincho" w:cs="Calibri" w:cstheme="minorHAnsi"/>
                <w:b/>
                <w:bCs/>
                <w:iCs/>
              </w:rPr>
            </w:pPr>
            <w:r>
              <w:rPr>
                <w:rFonts w:eastAsia="MS Mincho" w:cs="Calibri" w:cstheme="minorHAnsi"/>
                <w:b/>
                <w:bCs/>
                <w:iCs/>
                <w:kern w:val="0"/>
                <w:sz w:val="22"/>
                <w:szCs w:val="22"/>
                <w:lang w:val="pl-PL" w:eastAsia="en-US" w:bidi="ar-SA"/>
              </w:rPr>
              <w:t>2(ii)</w:t>
            </w:r>
          </w:p>
          <w:p>
            <w:pPr>
              <w:pStyle w:val="Normal"/>
              <w:widowControl/>
              <w:spacing w:lineRule="auto" w:line="240" w:before="0" w:after="0"/>
              <w:jc w:val="left"/>
              <w:rPr>
                <w:rFonts w:eastAsia="MS Mincho" w:cs="Calibri" w:cstheme="minorHAnsi"/>
                <w:b/>
                <w:bCs/>
                <w:iCs/>
              </w:rPr>
            </w:pPr>
            <w:r>
              <w:rPr>
                <w:rFonts w:eastAsia="MS Mincho" w:cs="Calibri" w:cstheme="minorHAnsi"/>
                <w:iCs/>
                <w:kern w:val="0"/>
                <w:sz w:val="22"/>
                <w:szCs w:val="22"/>
                <w:lang w:val="pl-PL" w:eastAsia="en-US" w:bidi="ar-SA"/>
              </w:rPr>
              <w:t>Wspieranie energii odnawialnej zgodnie</w:t>
              <w:br/>
              <w:t>z dyrektywą (UE)</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2018/2001, w tym określonymi w niej kryteriami zrównoważonego rozwoju</w:t>
            </w:r>
          </w:p>
        </w:tc>
        <w:tc>
          <w:tcPr>
            <w:tcW w:w="2391" w:type="dxa"/>
            <w:tcBorders/>
          </w:tcPr>
          <w:p>
            <w:pPr>
              <w:pStyle w:val="Normal"/>
              <w:widowControl/>
              <w:spacing w:lineRule="auto" w:line="240" w:before="0" w:after="0"/>
              <w:jc w:val="left"/>
              <w:rPr>
                <w:rFonts w:ascii="Calibri" w:hAnsi="Calibri" w:cs=""/>
                <w:kern w:val="0"/>
                <w:sz w:val="22"/>
                <w:szCs w:val="22"/>
                <w:lang w:val="pl-PL" w:eastAsia="en-US" w:bidi="ar-SA"/>
              </w:rPr>
            </w:pPr>
            <w:r>
              <w:rPr>
                <w:rFonts w:cs=""/>
                <w:b/>
                <w:bCs/>
                <w:kern w:val="0"/>
                <w:sz w:val="22"/>
                <w:szCs w:val="22"/>
                <w:lang w:val="pl-PL" w:eastAsia="en-US" w:bidi="ar-SA"/>
              </w:rPr>
              <w:t>„</w:t>
            </w:r>
            <w:r>
              <w:rPr>
                <w:rFonts w:cs=""/>
                <w:b/>
                <w:bCs/>
                <w:kern w:val="0"/>
                <w:sz w:val="22"/>
                <w:szCs w:val="22"/>
                <w:lang w:val="pl-PL" w:eastAsia="en-US" w:bidi="ar-SA"/>
              </w:rPr>
              <w:t>Rozwój OZE na terenie Miasta i Gminy Chodecz”</w:t>
              <w:br/>
            </w:r>
            <w:r>
              <w:rPr>
                <w:rFonts w:cs=""/>
                <w:kern w:val="0"/>
                <w:sz w:val="22"/>
                <w:szCs w:val="22"/>
                <w:lang w:val="pl-PL" w:eastAsia="en-US" w:bidi="ar-SA"/>
              </w:rPr>
              <w:t>Przedsięwzięcie będzie polegało na rozwoju mikroinstalacji OZE</w:t>
              <w:br/>
              <w:t xml:space="preserve"> w wielorodzinnych budynkach mieszkalnych </w:t>
              <w:br/>
              <w:t>i budynkach użyteczności publicznej wraz z  przyłączeniem</w:t>
              <w:br/>
              <w:t xml:space="preserve"> do sieci.</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Realizacja: Miasto</w:t>
              <w:br/>
              <w:t>i Gmina  Chodecz</w:t>
            </w:r>
          </w:p>
        </w:tc>
      </w:tr>
      <w:tr>
        <w:trPr/>
        <w:tc>
          <w:tcPr>
            <w:tcW w:w="2122" w:type="dxa"/>
            <w:vMerge w:val="continue"/>
            <w:tcBorders/>
          </w:tcPr>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continue"/>
            <w:tcBorders/>
          </w:tcPr>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Normal"/>
              <w:widowControl/>
              <w:spacing w:lineRule="auto" w:line="240" w:before="0" w:after="0"/>
              <w:jc w:val="left"/>
              <w:rPr>
                <w:rFonts w:eastAsia="MS Mincho" w:cs="Calibri" w:cstheme="minorHAnsi"/>
                <w:b/>
                <w:bCs/>
                <w:iCs/>
              </w:rPr>
            </w:pPr>
            <w:r>
              <w:rPr>
                <w:rFonts w:eastAsia="MS Mincho" w:cs="Calibri" w:cstheme="minorHAnsi"/>
                <w:b/>
                <w:bCs/>
                <w:iCs/>
                <w:kern w:val="0"/>
                <w:sz w:val="22"/>
                <w:szCs w:val="22"/>
                <w:lang w:val="pl-PL" w:eastAsia="en-US" w:bidi="ar-SA"/>
              </w:rPr>
              <w:t>2(vi)</w:t>
            </w:r>
          </w:p>
          <w:p>
            <w:pPr>
              <w:pStyle w:val="Normal"/>
              <w:widowControl/>
              <w:spacing w:lineRule="auto" w:line="240" w:before="0" w:after="0"/>
              <w:jc w:val="left"/>
              <w:rPr>
                <w:rFonts w:eastAsia="MS Mincho" w:cs="Calibri" w:cstheme="minorHAnsi"/>
                <w:b/>
                <w:bCs/>
                <w:iCs/>
              </w:rPr>
            </w:pPr>
            <w:r>
              <w:rPr>
                <w:rFonts w:eastAsia="MS Mincho" w:cs="Calibri" w:cstheme="minorHAnsi"/>
                <w:iCs/>
                <w:kern w:val="0"/>
                <w:sz w:val="22"/>
                <w:szCs w:val="22"/>
                <w:lang w:val="pl-PL" w:eastAsia="en-US" w:bidi="ar-SA"/>
              </w:rPr>
              <w:t xml:space="preserve">Wspieranie transformacji </w:t>
              <w:br/>
              <w:t xml:space="preserve">w kierunku gospodarki </w:t>
              <w:br/>
              <w:t>o obiegu</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zamkniętym i gospodarki zasobooszczędnej</w:t>
            </w:r>
          </w:p>
        </w:tc>
        <w:tc>
          <w:tcPr>
            <w:tcW w:w="2391" w:type="dxa"/>
            <w:tcBorders/>
          </w:tcPr>
          <w:p>
            <w:pPr>
              <w:pStyle w:val="Normal"/>
              <w:widowControl/>
              <w:spacing w:lineRule="auto" w:line="240" w:before="0" w:after="0"/>
              <w:jc w:val="left"/>
              <w:rPr>
                <w:rFonts w:eastAsia="Times New Roman"/>
                <w:b/>
                <w:bCs/>
              </w:rPr>
            </w:pPr>
            <w:r>
              <w:rPr>
                <w:rFonts w:eastAsia="Times New Roman" w:cs=""/>
                <w:b/>
                <w:bCs/>
                <w:kern w:val="0"/>
                <w:sz w:val="22"/>
                <w:szCs w:val="22"/>
                <w:lang w:val="pl-PL" w:eastAsia="en-US" w:bidi="ar-SA"/>
              </w:rPr>
              <w:t>„</w:t>
            </w:r>
            <w:r>
              <w:rPr>
                <w:rFonts w:eastAsia="Times New Roman" w:cs=""/>
                <w:b/>
                <w:bCs/>
                <w:kern w:val="0"/>
                <w:sz w:val="22"/>
                <w:szCs w:val="22"/>
                <w:lang w:val="pl-PL" w:eastAsia="en-US" w:bidi="ar-SA"/>
              </w:rPr>
              <w:t xml:space="preserve">Modernizacja </w:t>
              <w:br/>
              <w:t xml:space="preserve">i doposażenie Punktu Selektywnej Zbiórki Odpadów Komunalnych </w:t>
              <w:br/>
              <w:t>w miejscowości Poddębice - etap III”</w:t>
            </w:r>
          </w:p>
          <w:p>
            <w:pPr>
              <w:pStyle w:val="Normal"/>
              <w:widowControl/>
              <w:spacing w:lineRule="auto" w:line="240" w:before="0" w:after="0"/>
              <w:jc w:val="left"/>
              <w:rPr>
                <w:rFonts w:eastAsia="Times New Roman"/>
              </w:rPr>
            </w:pPr>
            <w:r>
              <w:rPr>
                <w:rFonts w:eastAsia="Times New Roman" w:cs=""/>
                <w:kern w:val="0"/>
                <w:sz w:val="22"/>
                <w:szCs w:val="22"/>
                <w:lang w:val="pl-PL" w:eastAsia="en-US" w:bidi="ar-SA"/>
              </w:rPr>
              <w:t xml:space="preserve">W ramach zadania planuje się doposażyć istniejący PSZOK </w:t>
              <w:br/>
              <w:t xml:space="preserve">w miejscowości Poddębice poprzez zakup wagi samochodowej. </w:t>
            </w:r>
          </w:p>
          <w:p>
            <w:pPr>
              <w:pStyle w:val="Normal"/>
              <w:widowControl/>
              <w:spacing w:lineRule="auto" w:line="240" w:before="0" w:after="0"/>
              <w:jc w:val="left"/>
              <w:rPr>
                <w:rFonts w:eastAsia="Times New Roman"/>
              </w:rPr>
            </w:pPr>
            <w:r>
              <w:rPr>
                <w:rFonts w:eastAsia="Times New Roman" w:cs=""/>
                <w:kern w:val="0"/>
                <w:sz w:val="22"/>
                <w:szCs w:val="22"/>
                <w:lang w:val="pl-PL" w:eastAsia="en-US" w:bidi="ar-SA"/>
              </w:rPr>
            </w:r>
          </w:p>
          <w:p>
            <w:pPr>
              <w:pStyle w:val="Normal"/>
              <w:widowControl/>
              <w:spacing w:lineRule="auto" w:line="240" w:before="0" w:after="0"/>
              <w:jc w:val="left"/>
              <w:rPr>
                <w:rFonts w:eastAsia="Times New Roman"/>
              </w:rPr>
            </w:pPr>
            <w:r>
              <w:rPr>
                <w:rFonts w:eastAsia="Times New Roman" w:cs=""/>
                <w:kern w:val="0"/>
                <w:sz w:val="22"/>
                <w:szCs w:val="22"/>
                <w:lang w:val="pl-PL" w:eastAsia="en-US" w:bidi="ar-SA"/>
              </w:rPr>
              <w:t>Realizacja: Gmina Włocławek</w:t>
            </w:r>
          </w:p>
        </w:tc>
      </w:tr>
      <w:tr>
        <w:trPr/>
        <w:tc>
          <w:tcPr>
            <w:tcW w:w="2122" w:type="dxa"/>
            <w:vMerge w:val="restart"/>
            <w:tcBorders/>
          </w:tcPr>
          <w:p>
            <w:pPr>
              <w:pStyle w:val="TytuMAPiTABEL"/>
              <w:widowControl/>
              <w:spacing w:before="0" w:after="0"/>
              <w:jc w:val="left"/>
              <w:rPr>
                <w:rFonts w:eastAsia="Calibri" w:eastAsiaTheme="minorHAnsi"/>
                <w:bCs/>
                <w:iCs w:val="false"/>
                <w:sz w:val="22"/>
                <w:szCs w:val="22"/>
              </w:rPr>
            </w:pPr>
            <w:r>
              <w:rPr>
                <w:rFonts w:eastAsia="Calibri" w:eastAsiaTheme="minorHAnsi"/>
                <w:bCs/>
                <w:iCs w:val="false"/>
                <w:kern w:val="0"/>
                <w:sz w:val="22"/>
                <w:szCs w:val="22"/>
                <w:lang w:val="pl-PL" w:eastAsia="en-US" w:bidi="ar-SA"/>
              </w:rPr>
              <w:t>Cel polityki 4</w:t>
            </w:r>
          </w:p>
          <w:p>
            <w:pPr>
              <w:pStyle w:val="TytuMAPiTABEL"/>
              <w:widowControl/>
              <w:spacing w:before="0" w:after="0"/>
              <w:jc w:val="left"/>
              <w:rPr>
                <w:rFonts w:eastAsia="Calibri" w:eastAsiaTheme="minorHAnsi"/>
                <w:b w:val="false"/>
                <w:iCs w:val="false"/>
                <w:sz w:val="22"/>
                <w:szCs w:val="22"/>
              </w:rPr>
            </w:pPr>
            <w:r>
              <w:rPr>
                <w:rFonts w:eastAsia="Calibri" w:eastAsiaTheme="minorHAnsi"/>
                <w:b w:val="false"/>
                <w:iCs w:val="false"/>
                <w:kern w:val="0"/>
                <w:sz w:val="22"/>
                <w:szCs w:val="22"/>
                <w:lang w:val="pl-PL" w:eastAsia="en-US" w:bidi="ar-SA"/>
              </w:rPr>
              <w:t>Europa o silniejszym wymiarze społecznym, bardziej sprzyjająca włączeniu</w:t>
              <w:br/>
              <w:t>społecznemu i wdrażająca Europejski filar praw socjalnych</w:t>
            </w:r>
          </w:p>
          <w:p>
            <w:pPr>
              <w:pStyle w:val="TytuMAPiTABEL"/>
              <w:widowControl/>
              <w:spacing w:before="0" w:after="0"/>
              <w:jc w:val="left"/>
              <w:rPr>
                <w:b w:val="false"/>
                <w:sz w:val="22"/>
                <w:szCs w:val="22"/>
              </w:rPr>
            </w:pPr>
            <w:r>
              <w:rPr>
                <w:b w:val="false"/>
                <w:kern w:val="0"/>
                <w:sz w:val="22"/>
                <w:szCs w:val="22"/>
                <w:lang w:val="pl-PL" w:eastAsia="en-US" w:bidi="ar-SA"/>
              </w:rPr>
            </w:r>
          </w:p>
          <w:p>
            <w:pPr>
              <w:pStyle w:val="Normal"/>
              <w:widowControl/>
              <w:spacing w:lineRule="auto" w:line="240" w:before="0" w:after="0"/>
              <w:jc w:val="left"/>
              <w:rPr>
                <w:rFonts w:eastAsia="MS Mincho" w:cs="Calibri" w:cstheme="minorHAnsi"/>
                <w:b/>
                <w:bCs/>
                <w:iCs/>
              </w:rPr>
            </w:pPr>
            <w:r>
              <w:rPr>
                <w:rFonts w:eastAsia="MS Mincho" w:cs="Calibri" w:cstheme="minorHAnsi"/>
                <w:b/>
                <w:bCs/>
                <w:iCs/>
                <w:kern w:val="0"/>
                <w:sz w:val="22"/>
                <w:szCs w:val="22"/>
                <w:lang w:val="pl-PL" w:eastAsia="en-US" w:bidi="ar-SA"/>
              </w:rPr>
            </w:r>
          </w:p>
        </w:tc>
        <w:tc>
          <w:tcPr>
            <w:tcW w:w="2154" w:type="dxa"/>
            <w:tcBorders/>
          </w:tcPr>
          <w:p>
            <w:pPr>
              <w:pStyle w:val="TytuMAPiTABEL"/>
              <w:widowControl/>
              <w:spacing w:before="0" w:after="0"/>
              <w:jc w:val="left"/>
              <w:rPr>
                <w:rFonts w:eastAsia="Calibri" w:eastAsiaTheme="minorHAnsi"/>
                <w:b w:val="false"/>
                <w:iCs w:val="false"/>
                <w:sz w:val="22"/>
                <w:szCs w:val="22"/>
              </w:rPr>
            </w:pPr>
            <w:r>
              <w:rPr>
                <w:rFonts w:eastAsia="Calibri" w:eastAsiaTheme="minorHAnsi"/>
                <w:bCs/>
                <w:iCs w:val="false"/>
                <w:kern w:val="0"/>
                <w:sz w:val="22"/>
                <w:szCs w:val="22"/>
                <w:lang w:val="pl-PL" w:eastAsia="en-US" w:bidi="ar-SA"/>
              </w:rPr>
              <w:t>Priorytet 6</w:t>
            </w:r>
            <w:r>
              <w:rPr>
                <w:rFonts w:eastAsia="Calibri" w:eastAsiaTheme="minorHAnsi"/>
                <w:b w:val="false"/>
                <w:iCs w:val="false"/>
                <w:kern w:val="0"/>
                <w:sz w:val="22"/>
                <w:szCs w:val="22"/>
                <w:lang w:val="pl-PL" w:eastAsia="en-US" w:bidi="ar-SA"/>
              </w:rPr>
              <w:t xml:space="preserve"> </w:t>
            </w:r>
          </w:p>
          <w:p>
            <w:pPr>
              <w:pStyle w:val="TytuMAPiTABEL"/>
              <w:widowControl/>
              <w:spacing w:before="0" w:after="0"/>
              <w:jc w:val="left"/>
              <w:rPr>
                <w:rFonts w:eastAsia="Calibri" w:eastAsiaTheme="minorHAnsi"/>
                <w:b w:val="false"/>
                <w:iCs w:val="false"/>
                <w:sz w:val="22"/>
                <w:szCs w:val="22"/>
              </w:rPr>
            </w:pPr>
            <w:r>
              <w:rPr>
                <w:rFonts w:eastAsia="Calibri" w:eastAsiaTheme="minorHAnsi"/>
                <w:b w:val="false"/>
                <w:iCs w:val="false"/>
                <w:kern w:val="0"/>
                <w:sz w:val="22"/>
                <w:szCs w:val="22"/>
                <w:lang w:val="pl-PL" w:eastAsia="en-US" w:bidi="ar-SA"/>
              </w:rPr>
              <w:t>Fundusze europejskie na rzecz zwiększenia</w:t>
              <w:br/>
              <w:t>dostępności regionalnej infrastruktury dla mieszkańców</w:t>
            </w:r>
          </w:p>
          <w:p>
            <w:pPr>
              <w:pStyle w:val="TytuMAPiTABEL"/>
              <w:widowControl/>
              <w:spacing w:before="0" w:after="0"/>
              <w:jc w:val="left"/>
              <w:rPr>
                <w:rFonts w:eastAsia="Calibri" w:eastAsiaTheme="minorHAnsi"/>
                <w:b w:val="false"/>
                <w:sz w:val="22"/>
                <w:szCs w:val="22"/>
              </w:rPr>
            </w:pPr>
            <w:r>
              <w:rPr>
                <w:rFonts w:eastAsia="Calibri" w:eastAsiaTheme="minorHAnsi"/>
                <w:b w:val="false"/>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4(II)</w:t>
            </w:r>
          </w:p>
          <w:p>
            <w:pPr>
              <w:pStyle w:val="TytuMAPiTABEL"/>
              <w:widowControl/>
              <w:spacing w:before="0" w:after="0"/>
              <w:jc w:val="left"/>
              <w:rPr>
                <w:b w:val="false"/>
                <w:sz w:val="22"/>
                <w:szCs w:val="22"/>
              </w:rPr>
            </w:pPr>
            <w:r>
              <w:rPr>
                <w:b w:val="false"/>
                <w:kern w:val="0"/>
                <w:sz w:val="22"/>
                <w:szCs w:val="22"/>
                <w:lang w:val="pl-PL" w:eastAsia="en-US" w:bidi="ar-SA"/>
              </w:rPr>
              <w:t>Poprawa równego dostępu do wysokiej jakości usług sprzyjających</w:t>
            </w:r>
          </w:p>
          <w:p>
            <w:pPr>
              <w:pStyle w:val="TytuMAPiTABEL"/>
              <w:widowControl/>
              <w:spacing w:before="0" w:after="0"/>
              <w:jc w:val="left"/>
              <w:rPr>
                <w:b w:val="false"/>
                <w:sz w:val="22"/>
                <w:szCs w:val="22"/>
              </w:rPr>
            </w:pPr>
            <w:r>
              <w:rPr>
                <w:b w:val="false"/>
                <w:kern w:val="0"/>
                <w:sz w:val="22"/>
                <w:szCs w:val="22"/>
                <w:lang w:val="pl-PL" w:eastAsia="en-US" w:bidi="ar-SA"/>
              </w:rPr>
              <w:t xml:space="preserve">włączeniu społecznemu </w:t>
              <w:br/>
              <w:t>w zakresie kształcenia, szkoleń i uczenia się przez całe</w:t>
            </w:r>
          </w:p>
          <w:p>
            <w:pPr>
              <w:pStyle w:val="TytuMAPiTABEL"/>
              <w:widowControl/>
              <w:spacing w:before="0" w:after="0"/>
              <w:jc w:val="left"/>
              <w:rPr>
                <w:b w:val="false"/>
                <w:sz w:val="22"/>
                <w:szCs w:val="22"/>
              </w:rPr>
            </w:pPr>
            <w:r>
              <w:rPr>
                <w:b w:val="false"/>
                <w:kern w:val="0"/>
                <w:sz w:val="22"/>
                <w:szCs w:val="22"/>
                <w:lang w:val="pl-PL" w:eastAsia="en-US" w:bidi="ar-SA"/>
              </w:rPr>
              <w:t>życie poprzez rozwój łatwo dostępnej infrastruktury, w tym poprzez wspieranie</w:t>
            </w:r>
          </w:p>
          <w:p>
            <w:pPr>
              <w:pStyle w:val="TytuMAPiTABEL"/>
              <w:widowControl/>
              <w:spacing w:before="0" w:after="0"/>
              <w:jc w:val="left"/>
              <w:rPr>
                <w:b w:val="false"/>
                <w:sz w:val="22"/>
                <w:szCs w:val="22"/>
              </w:rPr>
            </w:pPr>
            <w:r>
              <w:rPr>
                <w:b w:val="false"/>
                <w:kern w:val="0"/>
                <w:sz w:val="22"/>
                <w:szCs w:val="22"/>
                <w:lang w:val="pl-PL" w:eastAsia="en-US" w:bidi="ar-SA"/>
              </w:rPr>
              <w:t>odporności w zakresie kształcenia i szkolenia na odległość oraz online</w:t>
            </w:r>
          </w:p>
          <w:p>
            <w:pPr>
              <w:pStyle w:val="TytuMAPiTABEL"/>
              <w:widowControl/>
              <w:spacing w:before="0" w:after="0"/>
              <w:jc w:val="left"/>
              <w:rPr>
                <w:b w:val="false"/>
                <w:sz w:val="22"/>
                <w:szCs w:val="22"/>
              </w:rPr>
            </w:pPr>
            <w:r>
              <w:rPr>
                <w:b w:val="false"/>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1" w:type="dxa"/>
            <w:tcBorders/>
          </w:tcPr>
          <w:p>
            <w:pPr>
              <w:pStyle w:val="Xxmsonormal"/>
              <w:widowControl/>
              <w:shd w:val="clear" w:color="auto" w:fill="FFFFFF"/>
              <w:spacing w:before="0" w:after="0"/>
              <w:jc w:val="left"/>
              <w:rPr>
                <w:rFonts w:ascii="Calibri" w:hAnsi="Calibri" w:cs="Calibri" w:asciiTheme="minorHAnsi" w:cstheme="minorHAnsi" w:hAnsiTheme="minorHAnsi"/>
                <w:b/>
                <w:bCs/>
              </w:rPr>
            </w:pPr>
            <w:r>
              <w:rPr>
                <w:rStyle w:val="Xcontentpasted2"/>
                <w:rFonts w:cs="Calibri" w:cstheme="minorHAnsi"/>
                <w:b/>
                <w:bCs/>
                <w:kern w:val="0"/>
                <w:sz w:val="22"/>
                <w:szCs w:val="22"/>
                <w:lang w:val="pl-PL" w:bidi="ar-SA"/>
              </w:rPr>
              <w:t>„</w:t>
            </w:r>
            <w:r>
              <w:rPr>
                <w:rStyle w:val="Xcontentpasted2"/>
                <w:rFonts w:cs="Calibri" w:cstheme="minorHAnsi"/>
                <w:b/>
                <w:bCs/>
                <w:kern w:val="0"/>
                <w:sz w:val="22"/>
                <w:szCs w:val="22"/>
                <w:lang w:val="pl-PL" w:bidi="ar-SA"/>
              </w:rPr>
              <w:t>Rozwój infrastruktury PANS we Włocławku w celu dostosowania procesu kształcenia do potrzeb rynku pracy”</w:t>
            </w:r>
          </w:p>
          <w:p>
            <w:pPr>
              <w:pStyle w:val="Normal"/>
              <w:widowControl/>
              <w:spacing w:lineRule="auto" w:line="240" w:before="0" w:after="160"/>
              <w:jc w:val="left"/>
              <w:rPr>
                <w:rFonts w:eastAsia="MS Mincho" w:cs="Calibri" w:cstheme="minorHAnsi"/>
                <w:iCs/>
              </w:rPr>
            </w:pPr>
            <w:r>
              <w:rPr>
                <w:rFonts w:cs="Calibri" w:cstheme="minorHAnsi"/>
                <w:kern w:val="0"/>
                <w:sz w:val="22"/>
                <w:szCs w:val="22"/>
                <w:lang w:val="pl-PL" w:eastAsia="en-US" w:bidi="ar-SA"/>
              </w:rPr>
              <w:t xml:space="preserve">Celem projektu będzie </w:t>
            </w:r>
            <w:r>
              <w:rPr>
                <w:rFonts w:eastAsia="MS Mincho" w:cs="Calibri" w:cstheme="minorHAnsi"/>
                <w:iCs/>
                <w:kern w:val="0"/>
                <w:sz w:val="22"/>
                <w:szCs w:val="22"/>
                <w:lang w:val="pl-PL" w:eastAsia="en-US" w:bidi="ar-SA"/>
              </w:rPr>
              <w:t xml:space="preserve">rozbudowa </w:t>
              <w:br/>
              <w:t xml:space="preserve">i unowocześnienie budynku dydaktycznego wraz z jego doposażeniem na potrzeby kształcenia </w:t>
              <w:br/>
              <w:t xml:space="preserve">w warunkach symulacji medycznej dla kierunków medycznych: pielęgniarstwa, ratownictwa medycznego, położnictwa </w:t>
              <w:br/>
              <w:t>i fizjoterapii.</w:t>
            </w:r>
          </w:p>
          <w:p>
            <w:pPr>
              <w:pStyle w:val="Normal"/>
              <w:widowControl/>
              <w:spacing w:lineRule="auto" w:line="240" w:before="0" w:after="160"/>
              <w:jc w:val="left"/>
              <w:rPr>
                <w:rFonts w:eastAsia="MS Mincho" w:cs="Calibri" w:cstheme="minorHAnsi"/>
                <w:iCs/>
              </w:rPr>
            </w:pPr>
            <w:r>
              <w:rPr>
                <w:rFonts w:eastAsia="MS Mincho" w:cs="Calibri" w:cstheme="minorHAnsi"/>
                <w:iCs/>
                <w:kern w:val="0"/>
                <w:sz w:val="22"/>
                <w:szCs w:val="22"/>
                <w:lang w:val="pl-PL" w:eastAsia="en-US" w:bidi="ar-SA"/>
              </w:rPr>
            </w:r>
          </w:p>
          <w:p>
            <w:pPr>
              <w:pStyle w:val="Normal"/>
              <w:widowControl/>
              <w:spacing w:lineRule="auto" w:line="240" w:before="0" w:after="160"/>
              <w:jc w:val="left"/>
              <w:rPr>
                <w:rFonts w:ascii="Calibri" w:hAnsi="Calibri"/>
                <w:kern w:val="0"/>
                <w:sz w:val="22"/>
                <w:szCs w:val="22"/>
                <w:lang w:val="pl-PL" w:eastAsia="en-US" w:bidi="ar-SA"/>
              </w:rPr>
            </w:pPr>
            <w:r>
              <w:rPr>
                <w:rFonts w:cs="Calibri" w:cstheme="minorHAnsi"/>
                <w:iCs/>
                <w:kern w:val="0"/>
                <w:sz w:val="22"/>
                <w:szCs w:val="22"/>
                <w:lang w:val="pl-PL" w:eastAsia="en-US" w:bidi="ar-SA"/>
              </w:rPr>
              <w:t>Realizacja: Państwowa Akademia Nauk Stosowanych we Włocławku</w:t>
            </w:r>
          </w:p>
        </w:tc>
      </w:tr>
      <w:tr>
        <w:trPr/>
        <w:tc>
          <w:tcPr>
            <w:tcW w:w="2122"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restart"/>
            <w:tcBorders/>
          </w:tcPr>
          <w:p>
            <w:pPr>
              <w:pStyle w:val="TytuMAPiTABEL"/>
              <w:widowControl/>
              <w:spacing w:before="0" w:after="0"/>
              <w:jc w:val="left"/>
              <w:rPr>
                <w:b w:val="false"/>
                <w:sz w:val="22"/>
                <w:szCs w:val="22"/>
              </w:rPr>
            </w:pPr>
            <w:r>
              <w:rPr>
                <w:bCs/>
                <w:kern w:val="0"/>
                <w:sz w:val="22"/>
                <w:szCs w:val="22"/>
                <w:lang w:val="pl-PL" w:eastAsia="en-US" w:bidi="ar-SA"/>
              </w:rPr>
              <w:t xml:space="preserve">Priorytet 8 </w:t>
            </w:r>
          </w:p>
          <w:p>
            <w:pPr>
              <w:pStyle w:val="TytuMAPiTABEL"/>
              <w:widowControl/>
              <w:spacing w:before="0" w:after="0"/>
              <w:jc w:val="left"/>
              <w:rPr>
                <w:b w:val="false"/>
                <w:sz w:val="22"/>
                <w:szCs w:val="22"/>
              </w:rPr>
            </w:pPr>
            <w:r>
              <w:rPr>
                <w:b w:val="false"/>
                <w:kern w:val="0"/>
                <w:sz w:val="22"/>
                <w:szCs w:val="22"/>
                <w:lang w:val="pl-PL" w:eastAsia="en-US" w:bidi="ar-SA"/>
              </w:rPr>
              <w:t>Fundusze europejskie na wsparcie w</w:t>
            </w:r>
          </w:p>
          <w:p>
            <w:pPr>
              <w:pStyle w:val="TytuMAPiTABEL"/>
              <w:widowControl/>
              <w:spacing w:before="0" w:after="0"/>
              <w:jc w:val="left"/>
              <w:rPr>
                <w:b w:val="false"/>
                <w:sz w:val="22"/>
                <w:szCs w:val="22"/>
              </w:rPr>
            </w:pPr>
            <w:r>
              <w:rPr>
                <w:b w:val="false"/>
                <w:kern w:val="0"/>
                <w:sz w:val="22"/>
                <w:szCs w:val="22"/>
                <w:lang w:val="pl-PL" w:eastAsia="en-US" w:bidi="ar-SA"/>
              </w:rPr>
              <w:t>obszarze rynku pracy, edukacji i włączenia społecznego</w:t>
            </w:r>
          </w:p>
          <w:p>
            <w:pPr>
              <w:pStyle w:val="TytuMAPiTABEL"/>
              <w:widowControl/>
              <w:spacing w:before="0" w:after="0"/>
              <w:jc w:val="left"/>
              <w:rPr>
                <w:b w:val="false"/>
                <w:sz w:val="22"/>
                <w:szCs w:val="22"/>
              </w:rPr>
            </w:pPr>
            <w:r>
              <w:rPr>
                <w:b w:val="false"/>
                <w:kern w:val="0"/>
                <w:sz w:val="22"/>
                <w:szCs w:val="22"/>
                <w:lang w:val="pl-PL" w:eastAsia="en-US" w:bidi="ar-SA"/>
              </w:rPr>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4(a)</w:t>
            </w:r>
          </w:p>
          <w:p>
            <w:pPr>
              <w:pStyle w:val="TytuMAPiTABEL"/>
              <w:widowControl/>
              <w:spacing w:before="0" w:after="0"/>
              <w:jc w:val="left"/>
              <w:rPr>
                <w:bCs/>
                <w:sz w:val="22"/>
                <w:szCs w:val="22"/>
              </w:rPr>
            </w:pPr>
            <w:r>
              <w:rPr>
                <w:b w:val="false"/>
                <w:kern w:val="0"/>
                <w:sz w:val="22"/>
                <w:szCs w:val="22"/>
                <w:lang w:val="pl-PL" w:eastAsia="en-US" w:bidi="ar-SA"/>
              </w:rPr>
              <w:t xml:space="preserve">Poprawa dostępu </w:t>
              <w:br/>
              <w:t>do zatrudnienia</w:t>
              <w:br/>
              <w:t>i działań aktywizujących dla</w:t>
            </w:r>
            <w:r>
              <w:rPr>
                <w:kern w:val="0"/>
                <w:sz w:val="22"/>
                <w:szCs w:val="22"/>
                <w:lang w:val="pl-PL" w:eastAsia="en-US" w:bidi="ar-SA"/>
              </w:rPr>
              <w:t xml:space="preserve"> </w:t>
            </w:r>
            <w:r>
              <w:rPr>
                <w:b w:val="false"/>
                <w:kern w:val="0"/>
                <w:sz w:val="22"/>
                <w:szCs w:val="22"/>
                <w:lang w:val="pl-PL" w:eastAsia="en-US" w:bidi="ar-SA"/>
              </w:rPr>
              <w:t xml:space="preserve">wszystkich osób poszukujących pracy, </w:t>
              <w:br/>
              <w:t>w szczególności osób młodych, zwłaszcza</w:t>
            </w:r>
          </w:p>
          <w:p>
            <w:pPr>
              <w:pStyle w:val="TytuMAPiTABEL"/>
              <w:widowControl/>
              <w:spacing w:before="0" w:after="0"/>
              <w:jc w:val="left"/>
              <w:rPr>
                <w:b w:val="false"/>
                <w:sz w:val="22"/>
                <w:szCs w:val="22"/>
              </w:rPr>
            </w:pPr>
            <w:r>
              <w:rPr>
                <w:b w:val="false"/>
                <w:kern w:val="0"/>
                <w:sz w:val="22"/>
                <w:szCs w:val="22"/>
                <w:lang w:val="pl-PL" w:eastAsia="en-US" w:bidi="ar-SA"/>
              </w:rPr>
              <w:t xml:space="preserve">poprzez wdrażanie gwarancji dla młodzieży, długotrwale bezrobotnych oraz grup znajdujących się </w:t>
              <w:br/>
              <w:t>w niekorzystnej sytuacji na rynku pracy, jak również dla osób biernych zawodowo, a także poprzez promowanie samozatrudnienia</w:t>
              <w:br/>
              <w:t xml:space="preserve"> i ekonomii społecznej</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1"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Od pomysłu do biznesu - wsparcie na starcie”</w:t>
            </w:r>
          </w:p>
          <w:p>
            <w:pPr>
              <w:pStyle w:val="Normal"/>
              <w:widowControl/>
              <w:spacing w:lineRule="auto" w:line="240" w:before="0" w:after="0"/>
              <w:jc w:val="left"/>
              <w:rPr>
                <w:b/>
                <w:bCs/>
              </w:rPr>
            </w:pPr>
            <w:r>
              <w:rPr>
                <w:rFonts w:cs=""/>
                <w:kern w:val="0"/>
                <w:sz w:val="22"/>
                <w:szCs w:val="22"/>
                <w:lang w:val="pl-PL" w:eastAsia="en-US" w:bidi="ar-SA"/>
              </w:rPr>
              <w:t>Projekt będzie polegał na zorganizowaniu działań szkoleniowo-doradczych z zakresu przedsiębiorczości oraz przyznaniem dotacji dla min. 50 os. z Miasta Włocławek i obszaru funkcjonalnego.</w:t>
            </w:r>
          </w:p>
          <w:p>
            <w:pPr>
              <w:pStyle w:val="Normal"/>
              <w:widowControl/>
              <w:spacing w:lineRule="auto" w:line="240" w:before="0" w:after="160"/>
              <w:jc w:val="left"/>
              <w:rPr>
                <w:rFonts w:cs="Calibri" w:cstheme="minorHAnsi"/>
              </w:rPr>
            </w:pPr>
            <w:r>
              <w:rPr>
                <w:rFonts w:cs="Calibri" w:cstheme="minorHAnsi"/>
                <w:kern w:val="0"/>
                <w:sz w:val="22"/>
                <w:szCs w:val="22"/>
                <w:lang w:val="pl-PL" w:eastAsia="en-US" w:bidi="ar-SA"/>
              </w:rPr>
            </w:r>
          </w:p>
          <w:p>
            <w:pPr>
              <w:pStyle w:val="Normal"/>
              <w:widowControl/>
              <w:spacing w:lineRule="auto" w:line="240" w:before="0" w:after="160"/>
              <w:jc w:val="left"/>
              <w:rPr>
                <w:rFonts w:cs="Calibri" w:cstheme="minorHAnsi"/>
              </w:rPr>
            </w:pPr>
            <w:r>
              <w:rPr>
                <w:rFonts w:cs="Calibri" w:cstheme="minorHAnsi"/>
                <w:kern w:val="0"/>
                <w:sz w:val="22"/>
                <w:szCs w:val="22"/>
                <w:lang w:val="pl-PL" w:eastAsia="en-US" w:bidi="ar-SA"/>
              </w:rPr>
              <w:t>Realizacja: Gmina Miasto Włocławek</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r>
      <w:tr>
        <w:trPr/>
        <w:tc>
          <w:tcPr>
            <w:tcW w:w="2122"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4(f)</w:t>
            </w:r>
            <w:r>
              <w:rPr>
                <w:b w:val="false"/>
                <w:kern w:val="0"/>
                <w:sz w:val="22"/>
                <w:szCs w:val="22"/>
                <w:lang w:val="pl-PL" w:eastAsia="en-US" w:bidi="ar-SA"/>
              </w:rPr>
              <w:t xml:space="preserve">  </w:t>
            </w:r>
          </w:p>
          <w:p>
            <w:pPr>
              <w:pStyle w:val="TytuMAPiTABEL"/>
              <w:widowControl/>
              <w:spacing w:before="0" w:after="0"/>
              <w:jc w:val="left"/>
              <w:rPr>
                <w:b w:val="false"/>
                <w:sz w:val="22"/>
                <w:szCs w:val="22"/>
              </w:rPr>
            </w:pPr>
            <w:r>
              <w:rPr>
                <w:b w:val="false"/>
                <w:kern w:val="0"/>
                <w:sz w:val="22"/>
                <w:szCs w:val="22"/>
                <w:lang w:val="pl-PL" w:eastAsia="en-US" w:bidi="ar-SA"/>
              </w:rPr>
              <w:t>Wspieranie równego dostępu do dobrej jakości, włączającego</w:t>
            </w:r>
          </w:p>
          <w:p>
            <w:pPr>
              <w:pStyle w:val="TytuMAPiTABEL"/>
              <w:widowControl/>
              <w:spacing w:before="0" w:after="0"/>
              <w:jc w:val="left"/>
              <w:rPr>
                <w:b w:val="false"/>
                <w:sz w:val="22"/>
                <w:szCs w:val="22"/>
              </w:rPr>
            </w:pPr>
            <w:r>
              <w:rPr>
                <w:b w:val="false"/>
                <w:kern w:val="0"/>
                <w:sz w:val="22"/>
                <w:szCs w:val="22"/>
                <w:lang w:val="pl-PL" w:eastAsia="en-US" w:bidi="ar-SA"/>
              </w:rPr>
              <w:t xml:space="preserve">kształcenia i szkolenia oraz możliwości ich ukończenia, </w:t>
              <w:br/>
              <w:t xml:space="preserve">w szczególności </w:t>
              <w:br/>
              <w:t xml:space="preserve">w odniesieniu do grup </w:t>
              <w:br/>
              <w:t>w niekorzystnej sytuacji, od wczesnej edukacji i opieki nad</w:t>
            </w:r>
          </w:p>
          <w:p>
            <w:pPr>
              <w:pStyle w:val="TytuMAPiTABEL"/>
              <w:widowControl/>
              <w:spacing w:before="0" w:after="0"/>
              <w:jc w:val="left"/>
              <w:rPr>
                <w:b w:val="false"/>
                <w:sz w:val="22"/>
                <w:szCs w:val="22"/>
              </w:rPr>
            </w:pPr>
            <w:r>
              <w:rPr>
                <w:b w:val="false"/>
                <w:kern w:val="0"/>
                <w:sz w:val="22"/>
                <w:szCs w:val="22"/>
                <w:lang w:val="pl-PL" w:eastAsia="en-US" w:bidi="ar-SA"/>
              </w:rPr>
              <w:t>dzieckiem przez ogólne i zawodowe kształcenie i szkolenie, po szkolnictwo wyższe,</w:t>
            </w:r>
          </w:p>
          <w:p>
            <w:pPr>
              <w:pStyle w:val="TytuMAPiTABEL"/>
              <w:widowControl/>
              <w:spacing w:before="0" w:after="0"/>
              <w:jc w:val="left"/>
              <w:rPr>
                <w:b w:val="false"/>
                <w:sz w:val="22"/>
                <w:szCs w:val="22"/>
              </w:rPr>
            </w:pPr>
            <w:r>
              <w:rPr>
                <w:b w:val="false"/>
                <w:kern w:val="0"/>
                <w:sz w:val="22"/>
                <w:szCs w:val="22"/>
                <w:lang w:val="pl-PL" w:eastAsia="en-US" w:bidi="ar-SA"/>
              </w:rPr>
              <w:t xml:space="preserve">a także kształcenie </w:t>
              <w:br/>
              <w:t xml:space="preserve">i uczenie się dorosłych, </w:t>
              <w:br/>
              <w:t>w tym ułatwianie mobilności</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edukacyjnej dla wszystkich i dostępności dla osób z niepełnosprawnościami</w:t>
            </w:r>
          </w:p>
        </w:tc>
        <w:tc>
          <w:tcPr>
            <w:tcW w:w="2391"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Nowoczesna edukacja przedszkolna w Gminie Miasto Włocławek”</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W ramach zadania planuje się m.in. realizację dodatkowej oferty edukacyjnej lub specjalistycznej dla dzieci w zakresie poprawy jakości świadczenia usług edukacyjnych oraz edukacji włączającej dla całego obszaru MOF Włocławka, dostosowanie istniejących miejsc wychowania przedszkolnego do potrzeb dzieci z niepełnosprawnościami, podnoszenie kompetencji kadry pedagogicznej.</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Realizacja: Gmina Miasto Włocławek</w:t>
            </w:r>
          </w:p>
        </w:tc>
      </w:tr>
      <w:tr>
        <w:trPr/>
        <w:tc>
          <w:tcPr>
            <w:tcW w:w="2122"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4(f)</w:t>
            </w:r>
            <w:r>
              <w:rPr>
                <w:b w:val="false"/>
                <w:kern w:val="0"/>
                <w:sz w:val="22"/>
                <w:szCs w:val="22"/>
                <w:lang w:val="pl-PL" w:eastAsia="en-US" w:bidi="ar-SA"/>
              </w:rPr>
              <w:t xml:space="preserve">  </w:t>
            </w:r>
          </w:p>
          <w:p>
            <w:pPr>
              <w:pStyle w:val="TytuMAPiTABEL"/>
              <w:widowControl/>
              <w:spacing w:before="0" w:after="0"/>
              <w:jc w:val="left"/>
              <w:rPr>
                <w:b w:val="false"/>
                <w:sz w:val="22"/>
                <w:szCs w:val="22"/>
              </w:rPr>
            </w:pPr>
            <w:r>
              <w:rPr>
                <w:b w:val="false"/>
                <w:kern w:val="0"/>
                <w:sz w:val="22"/>
                <w:szCs w:val="22"/>
                <w:lang w:val="pl-PL" w:eastAsia="en-US" w:bidi="ar-SA"/>
              </w:rPr>
              <w:t>Wspieranie równego dostępu do dobrej jakości, włączającego</w:t>
            </w:r>
          </w:p>
          <w:p>
            <w:pPr>
              <w:pStyle w:val="TytuMAPiTABEL"/>
              <w:widowControl/>
              <w:spacing w:before="0" w:after="0"/>
              <w:jc w:val="left"/>
              <w:rPr>
                <w:b w:val="false"/>
                <w:sz w:val="22"/>
                <w:szCs w:val="22"/>
              </w:rPr>
            </w:pPr>
            <w:r>
              <w:rPr>
                <w:b w:val="false"/>
                <w:kern w:val="0"/>
                <w:sz w:val="22"/>
                <w:szCs w:val="22"/>
                <w:lang w:val="pl-PL" w:eastAsia="en-US" w:bidi="ar-SA"/>
              </w:rPr>
              <w:t>kształcenia i szkolenia oraz możliwości ich ukończenia, w szczególności w</w:t>
            </w:r>
          </w:p>
          <w:p>
            <w:pPr>
              <w:pStyle w:val="TytuMAPiTABEL"/>
              <w:widowControl/>
              <w:spacing w:before="0" w:after="0"/>
              <w:jc w:val="left"/>
              <w:rPr>
                <w:b w:val="false"/>
                <w:sz w:val="22"/>
                <w:szCs w:val="22"/>
              </w:rPr>
            </w:pPr>
            <w:r>
              <w:rPr>
                <w:b w:val="false"/>
                <w:kern w:val="0"/>
                <w:sz w:val="22"/>
                <w:szCs w:val="22"/>
                <w:lang w:val="pl-PL" w:eastAsia="en-US" w:bidi="ar-SA"/>
              </w:rPr>
              <w:t>odniesieniu do grup w niekorzystnej sytuacji, od wczesnej edukacji i opieki nad</w:t>
            </w:r>
          </w:p>
          <w:p>
            <w:pPr>
              <w:pStyle w:val="TytuMAPiTABEL"/>
              <w:widowControl/>
              <w:spacing w:before="0" w:after="0"/>
              <w:jc w:val="left"/>
              <w:rPr>
                <w:b w:val="false"/>
                <w:sz w:val="22"/>
                <w:szCs w:val="22"/>
              </w:rPr>
            </w:pPr>
            <w:r>
              <w:rPr>
                <w:b w:val="false"/>
                <w:kern w:val="0"/>
                <w:sz w:val="22"/>
                <w:szCs w:val="22"/>
                <w:lang w:val="pl-PL" w:eastAsia="en-US" w:bidi="ar-SA"/>
              </w:rPr>
              <w:t>dzieckiem przez ogólne i zawodowe kształcenie i szkolenie, po szkolnictwo wyższe,</w:t>
            </w:r>
          </w:p>
          <w:p>
            <w:pPr>
              <w:pStyle w:val="TytuMAPiTABEL"/>
              <w:widowControl/>
              <w:spacing w:before="0" w:after="0"/>
              <w:jc w:val="left"/>
              <w:rPr>
                <w:b w:val="false"/>
                <w:sz w:val="22"/>
                <w:szCs w:val="22"/>
              </w:rPr>
            </w:pPr>
            <w:r>
              <w:rPr>
                <w:b w:val="false"/>
                <w:kern w:val="0"/>
                <w:sz w:val="22"/>
                <w:szCs w:val="22"/>
                <w:lang w:val="pl-PL" w:eastAsia="en-US" w:bidi="ar-SA"/>
              </w:rPr>
              <w:t>a także kształcenie i uczenie się dorosłych, w tym ułatwianie mobilności</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edukacyjnej dla wszystkich i dostępności dla osób z niepełnosprawnościami</w:t>
            </w:r>
          </w:p>
        </w:tc>
        <w:tc>
          <w:tcPr>
            <w:tcW w:w="2391"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Kształcenie zawodowe dostosowane do potrzeb rynku pracy</w:t>
              <w:br/>
              <w:t xml:space="preserve"> w Gminie Miasto Włocławek”</w:t>
            </w:r>
          </w:p>
          <w:p>
            <w:pPr>
              <w:pStyle w:val="Normal"/>
              <w:widowControl/>
              <w:spacing w:lineRule="auto" w:line="240" w:before="0" w:after="0"/>
              <w:jc w:val="left"/>
              <w:rPr>
                <w:b/>
                <w:bCs/>
              </w:rPr>
            </w:pPr>
            <w:r>
              <w:rPr>
                <w:rFonts w:cs=""/>
                <w:kern w:val="0"/>
                <w:sz w:val="22"/>
                <w:szCs w:val="22"/>
                <w:lang w:val="pl-PL" w:eastAsia="en-US" w:bidi="ar-SA"/>
              </w:rPr>
              <w:t xml:space="preserve">W ramach zadania planuje się wsparcie dla uczniów szkół zawodowych </w:t>
              <w:br/>
              <w:t xml:space="preserve">w zakresie podnoszenia kompetencji kluczowych lub nabywania kwalifikacji zawodowych oraz wsparcie przedstawicieli kadry.  </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Realizacja: Gmina Miasto Włocławek</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r>
      <w:tr>
        <w:trPr/>
        <w:tc>
          <w:tcPr>
            <w:tcW w:w="2122"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continue"/>
            <w:tcBorders/>
          </w:tcPr>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Normal"/>
              <w:widowControl/>
              <w:spacing w:lineRule="auto" w:line="240" w:before="0" w:after="0"/>
              <w:jc w:val="left"/>
              <w:rPr>
                <w:rFonts w:eastAsia="MS Mincho" w:cs="Calibri" w:cstheme="minorHAnsi"/>
                <w:b/>
                <w:bCs/>
                <w:iCs/>
              </w:rPr>
            </w:pPr>
            <w:r>
              <w:rPr>
                <w:rFonts w:eastAsia="MS Mincho" w:cs="Calibri" w:cstheme="minorHAnsi"/>
                <w:b/>
                <w:bCs/>
                <w:iCs/>
                <w:kern w:val="0"/>
                <w:sz w:val="22"/>
                <w:szCs w:val="22"/>
                <w:lang w:val="pl-PL" w:eastAsia="en-US" w:bidi="ar-SA"/>
              </w:rPr>
              <w:t>4(k)</w:t>
            </w:r>
          </w:p>
          <w:p>
            <w:pPr>
              <w:pStyle w:val="Normal"/>
              <w:widowControl/>
              <w:spacing w:lineRule="auto" w:line="240" w:before="0" w:after="0"/>
              <w:jc w:val="left"/>
              <w:rPr>
                <w:rFonts w:eastAsia="MS Mincho" w:cs="Calibri" w:cstheme="minorHAnsi"/>
                <w:b/>
                <w:bCs/>
                <w:iCs/>
              </w:rPr>
            </w:pPr>
            <w:r>
              <w:rPr>
                <w:rFonts w:eastAsia="MS Mincho" w:cs="Calibri" w:cstheme="minorHAnsi"/>
                <w:iCs/>
                <w:kern w:val="0"/>
                <w:sz w:val="22"/>
                <w:szCs w:val="22"/>
                <w:lang w:val="pl-PL" w:eastAsia="en-US" w:bidi="ar-SA"/>
              </w:rPr>
              <w:t>Zwiększanie równego</w:t>
              <w:br/>
              <w:t>i szybkiego dostępu do dobrej jakości, trwałych</w:t>
            </w:r>
          </w:p>
          <w:p>
            <w:pPr>
              <w:pStyle w:val="Normal"/>
              <w:widowControl/>
              <w:spacing w:lineRule="auto" w:line="240" w:before="0" w:after="0"/>
              <w:jc w:val="left"/>
              <w:rPr>
                <w:rFonts w:eastAsia="MS Mincho" w:cs="Calibri" w:cstheme="minorHAnsi"/>
                <w:iCs/>
              </w:rPr>
            </w:pPr>
            <w:r>
              <w:rPr>
                <w:rFonts w:eastAsia="MS Mincho" w:cs="Calibri" w:cstheme="minorHAnsi"/>
                <w:iCs/>
                <w:kern w:val="0"/>
                <w:sz w:val="22"/>
                <w:szCs w:val="22"/>
                <w:lang w:val="pl-PL" w:eastAsia="en-US" w:bidi="ar-SA"/>
              </w:rPr>
              <w:t>i przystępnych cenowo usług, w tym usług, które wspierają dostęp do mieszkań</w:t>
            </w:r>
          </w:p>
          <w:p>
            <w:pPr>
              <w:pStyle w:val="Normal"/>
              <w:widowControl/>
              <w:spacing w:lineRule="auto" w:line="240" w:before="0" w:after="0"/>
              <w:jc w:val="left"/>
              <w:rPr>
                <w:rFonts w:eastAsia="MS Mincho" w:cs="Calibri" w:cstheme="minorHAnsi"/>
                <w:iCs/>
              </w:rPr>
            </w:pPr>
            <w:r>
              <w:rPr>
                <w:rFonts w:eastAsia="MS Mincho" w:cs="Calibri" w:cstheme="minorHAnsi"/>
                <w:iCs/>
                <w:kern w:val="0"/>
                <w:sz w:val="22"/>
                <w:szCs w:val="22"/>
                <w:lang w:val="pl-PL" w:eastAsia="en-US" w:bidi="ar-SA"/>
              </w:rPr>
              <w:t>oraz opieki skoncentrowanej na osobie, w tym opieki zdrowotnej; modernizacja</w:t>
            </w:r>
          </w:p>
          <w:p>
            <w:pPr>
              <w:pStyle w:val="Normal"/>
              <w:widowControl/>
              <w:spacing w:lineRule="auto" w:line="240" w:before="0" w:after="0"/>
              <w:jc w:val="left"/>
              <w:rPr>
                <w:rFonts w:eastAsia="MS Mincho" w:cs="Calibri" w:cstheme="minorHAnsi"/>
                <w:iCs/>
              </w:rPr>
            </w:pPr>
            <w:r>
              <w:rPr>
                <w:rFonts w:eastAsia="MS Mincho" w:cs="Calibri" w:cstheme="minorHAnsi"/>
                <w:iCs/>
                <w:kern w:val="0"/>
                <w:sz w:val="22"/>
                <w:szCs w:val="22"/>
                <w:lang w:val="pl-PL" w:eastAsia="en-US" w:bidi="ar-SA"/>
              </w:rPr>
              <w:t>systemów ochrony socjalnej, w tym wspieranie dostępu do ochrony socjalnej, ze</w:t>
            </w:r>
          </w:p>
          <w:p>
            <w:pPr>
              <w:pStyle w:val="Normal"/>
              <w:widowControl/>
              <w:spacing w:lineRule="auto" w:line="240" w:before="0" w:after="0"/>
              <w:jc w:val="left"/>
              <w:rPr>
                <w:rFonts w:eastAsia="MS Mincho" w:cs="Calibri" w:cstheme="minorHAnsi"/>
                <w:iCs/>
              </w:rPr>
            </w:pPr>
            <w:r>
              <w:rPr>
                <w:rFonts w:eastAsia="MS Mincho" w:cs="Calibri" w:cstheme="minorHAnsi"/>
                <w:iCs/>
                <w:kern w:val="0"/>
                <w:sz w:val="22"/>
                <w:szCs w:val="22"/>
                <w:lang w:val="pl-PL" w:eastAsia="en-US" w:bidi="ar-SA"/>
              </w:rPr>
              <w:t xml:space="preserve">szczególnym uwzględnieniem dzieci </w:t>
              <w:br/>
              <w:t>i grup w niekorzystnej sytuacji; poprawa</w:t>
            </w:r>
          </w:p>
          <w:p>
            <w:pPr>
              <w:pStyle w:val="Normal"/>
              <w:widowControl/>
              <w:spacing w:lineRule="auto" w:line="240" w:before="0" w:after="0"/>
              <w:jc w:val="left"/>
              <w:rPr>
                <w:rFonts w:eastAsia="MS Mincho" w:cs="Calibri" w:cstheme="minorHAnsi"/>
                <w:iCs/>
              </w:rPr>
            </w:pPr>
            <w:r>
              <w:rPr>
                <w:rFonts w:eastAsia="MS Mincho" w:cs="Calibri" w:cstheme="minorHAnsi"/>
                <w:iCs/>
                <w:kern w:val="0"/>
                <w:sz w:val="22"/>
                <w:szCs w:val="22"/>
                <w:lang w:val="pl-PL" w:eastAsia="en-US" w:bidi="ar-SA"/>
              </w:rPr>
              <w:t xml:space="preserve">dostępności, w tym dla osób z niepełnosprawnościami, skuteczności </w:t>
              <w:br/>
              <w:t>i odporności</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systemów ochrony zdrowia i usług opieki długoterminowej</w:t>
            </w:r>
          </w:p>
        </w:tc>
        <w:tc>
          <w:tcPr>
            <w:tcW w:w="2391"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Centrum Usług Społecznych w Gminie Włocławek”</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 xml:space="preserve">Zadanie będzie polegało na przekształceniu Gminnego Ośrodka Pomocy Społecznej </w:t>
              <w:br/>
              <w:t>w Centrum Usług Społecznych</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 xml:space="preserve"> </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Realizacja: Gmina Włocławek</w:t>
            </w:r>
          </w:p>
        </w:tc>
      </w:tr>
      <w:tr>
        <w:trPr/>
        <w:tc>
          <w:tcPr>
            <w:tcW w:w="2122" w:type="dxa"/>
            <w:vMerge w:val="continue"/>
            <w:tcBorders/>
          </w:tcPr>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154" w:type="dxa"/>
            <w:vMerge w:val="continue"/>
            <w:tcBorders/>
          </w:tcPr>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2392" w:type="dxa"/>
            <w:tcBorders/>
          </w:tcPr>
          <w:p>
            <w:pPr>
              <w:pStyle w:val="TytuMAPiTABEL"/>
              <w:widowControl/>
              <w:spacing w:before="0" w:after="0"/>
              <w:jc w:val="left"/>
              <w:rPr>
                <w:bCs/>
                <w:sz w:val="22"/>
                <w:szCs w:val="22"/>
              </w:rPr>
            </w:pPr>
            <w:r>
              <w:rPr>
                <w:bCs/>
                <w:kern w:val="0"/>
                <w:sz w:val="22"/>
                <w:szCs w:val="22"/>
                <w:lang w:val="pl-PL" w:eastAsia="en-US" w:bidi="ar-SA"/>
              </w:rPr>
              <w:t>4(k)</w:t>
            </w:r>
          </w:p>
          <w:p>
            <w:pPr>
              <w:pStyle w:val="TytuMAPiTABEL"/>
              <w:widowControl/>
              <w:spacing w:before="0" w:after="0"/>
              <w:jc w:val="left"/>
              <w:rPr>
                <w:bCs/>
                <w:sz w:val="22"/>
                <w:szCs w:val="22"/>
              </w:rPr>
            </w:pPr>
            <w:r>
              <w:rPr>
                <w:b w:val="false"/>
                <w:kern w:val="0"/>
                <w:sz w:val="22"/>
                <w:szCs w:val="22"/>
                <w:lang w:val="pl-PL" w:eastAsia="en-US" w:bidi="ar-SA"/>
              </w:rPr>
              <w:t>Zwiększanie równego</w:t>
              <w:br/>
              <w:t>i szybkiego dostępu do dobrej jakości, trwałych</w:t>
            </w:r>
          </w:p>
          <w:p>
            <w:pPr>
              <w:pStyle w:val="TytuMAPiTABEL"/>
              <w:widowControl/>
              <w:spacing w:before="0" w:after="0"/>
              <w:jc w:val="left"/>
              <w:rPr>
                <w:b w:val="false"/>
                <w:sz w:val="22"/>
                <w:szCs w:val="22"/>
              </w:rPr>
            </w:pPr>
            <w:r>
              <w:rPr>
                <w:b w:val="false"/>
                <w:kern w:val="0"/>
                <w:sz w:val="22"/>
                <w:szCs w:val="22"/>
                <w:lang w:val="pl-PL" w:eastAsia="en-US" w:bidi="ar-SA"/>
              </w:rPr>
              <w:t>i przystępnych cenowo usług, w tym usług, które wspierają dostęp do mieszkań</w:t>
            </w:r>
          </w:p>
          <w:p>
            <w:pPr>
              <w:pStyle w:val="TytuMAPiTABEL"/>
              <w:widowControl/>
              <w:spacing w:before="0" w:after="0"/>
              <w:jc w:val="left"/>
              <w:rPr>
                <w:b w:val="false"/>
                <w:sz w:val="22"/>
                <w:szCs w:val="22"/>
              </w:rPr>
            </w:pPr>
            <w:r>
              <w:rPr>
                <w:b w:val="false"/>
                <w:kern w:val="0"/>
                <w:sz w:val="22"/>
                <w:szCs w:val="22"/>
                <w:lang w:val="pl-PL" w:eastAsia="en-US" w:bidi="ar-SA"/>
              </w:rPr>
              <w:t>oraz opieki skoncentrowanej na osobie, w tym opieki zdrowotnej; modernizacja</w:t>
            </w:r>
          </w:p>
          <w:p>
            <w:pPr>
              <w:pStyle w:val="TytuMAPiTABEL"/>
              <w:widowControl/>
              <w:spacing w:before="0" w:after="0"/>
              <w:jc w:val="left"/>
              <w:rPr>
                <w:b w:val="false"/>
                <w:sz w:val="22"/>
                <w:szCs w:val="22"/>
              </w:rPr>
            </w:pPr>
            <w:r>
              <w:rPr>
                <w:b w:val="false"/>
                <w:kern w:val="0"/>
                <w:sz w:val="22"/>
                <w:szCs w:val="22"/>
                <w:lang w:val="pl-PL" w:eastAsia="en-US" w:bidi="ar-SA"/>
              </w:rPr>
              <w:t>systemów ochrony socjalnej, w tym wspieranie dostępu do ochrony socjalnej, ze</w:t>
            </w:r>
          </w:p>
          <w:p>
            <w:pPr>
              <w:pStyle w:val="TytuMAPiTABEL"/>
              <w:widowControl/>
              <w:spacing w:before="0" w:after="0"/>
              <w:jc w:val="left"/>
              <w:rPr>
                <w:b w:val="false"/>
                <w:sz w:val="22"/>
                <w:szCs w:val="22"/>
              </w:rPr>
            </w:pPr>
            <w:r>
              <w:rPr>
                <w:b w:val="false"/>
                <w:kern w:val="0"/>
                <w:sz w:val="22"/>
                <w:szCs w:val="22"/>
                <w:lang w:val="pl-PL" w:eastAsia="en-US" w:bidi="ar-SA"/>
              </w:rPr>
              <w:t xml:space="preserve">szczególnym uwzględnieniem dzieci </w:t>
              <w:br/>
              <w:t>i grup w niekorzystnej sytuacji; poprawa</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dostępności, w tym dla osób z niepełnosprawnościami, skuteczności</w:t>
              <w:br/>
              <w:t xml:space="preserve"> i odporności systemów ochrony zdrowia i usług opieki długoterminowej</w:t>
            </w:r>
          </w:p>
        </w:tc>
        <w:tc>
          <w:tcPr>
            <w:tcW w:w="2391"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Centrum Usług Społecznych”</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 xml:space="preserve">W ramach projektu planuje się przebudowę i rozbudowę obiektu po szkole podstawowej </w:t>
              <w:br/>
              <w:t>w miejscowości z Zosin. W przebudowanym obiekcie powstanie Dom Dziennego Pobytu.</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Realizacja: Gmina Lubanie</w:t>
            </w:r>
          </w:p>
        </w:tc>
      </w:tr>
      <w:tr>
        <w:trPr/>
        <w:tc>
          <w:tcPr>
            <w:tcW w:w="2122" w:type="dxa"/>
            <w:tcBorders/>
          </w:tcPr>
          <w:p>
            <w:pPr>
              <w:pStyle w:val="Normal"/>
              <w:widowControl/>
              <w:spacing w:lineRule="auto" w:line="240" w:before="0" w:after="0"/>
              <w:jc w:val="left"/>
              <w:rPr>
                <w:rFonts w:eastAsia="MS Mincho" w:cs="Calibri" w:cstheme="minorHAnsi"/>
                <w:b/>
                <w:bCs/>
                <w:iCs/>
              </w:rPr>
            </w:pPr>
            <w:r>
              <w:rPr>
                <w:rFonts w:eastAsia="MS Mincho" w:cs="Calibri" w:cstheme="minorHAnsi"/>
                <w:b/>
                <w:bCs/>
                <w:iCs/>
                <w:kern w:val="0"/>
                <w:sz w:val="22"/>
                <w:szCs w:val="22"/>
                <w:lang w:val="pl-PL" w:eastAsia="en-US" w:bidi="ar-SA"/>
              </w:rPr>
              <w:t xml:space="preserve">Cel Polityki CP5  </w:t>
            </w:r>
            <w:r>
              <w:rPr>
                <w:rFonts w:eastAsia="MS Mincho" w:cs="Calibri" w:cstheme="minorHAnsi"/>
                <w:iCs/>
                <w:kern w:val="0"/>
                <w:sz w:val="22"/>
                <w:szCs w:val="22"/>
                <w:lang w:val="pl-PL" w:eastAsia="en-US" w:bidi="ar-SA"/>
              </w:rPr>
              <w:t>Europa bliższa obywatelom dzięki wspieraniu zrównoważonego i</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zintegrowanego rozwoju wszystkich rodzajów terytoriów oraz inicjatyw lokalnych</w:t>
            </w:r>
          </w:p>
        </w:tc>
        <w:tc>
          <w:tcPr>
            <w:tcW w:w="2154" w:type="dxa"/>
            <w:tcBorders/>
          </w:tcPr>
          <w:p>
            <w:pPr>
              <w:pStyle w:val="Normal"/>
              <w:widowControl/>
              <w:spacing w:lineRule="auto" w:line="240" w:before="0" w:after="0"/>
              <w:jc w:val="left"/>
              <w:rPr>
                <w:rFonts w:eastAsia="MS Mincho" w:cs="Calibri" w:cstheme="minorHAnsi"/>
                <w:b/>
                <w:bCs/>
                <w:iCs/>
              </w:rPr>
            </w:pPr>
            <w:r>
              <w:rPr>
                <w:rFonts w:eastAsia="MS Mincho" w:cs="Calibri" w:cstheme="minorHAnsi"/>
                <w:b/>
                <w:bCs/>
                <w:iCs/>
                <w:kern w:val="0"/>
                <w:sz w:val="22"/>
                <w:szCs w:val="22"/>
                <w:lang w:val="pl-PL" w:eastAsia="en-US" w:bidi="ar-SA"/>
              </w:rPr>
              <w:t>Priorytet 5</w:t>
            </w:r>
          </w:p>
          <w:p>
            <w:pPr>
              <w:pStyle w:val="Normal"/>
              <w:widowControl/>
              <w:spacing w:lineRule="auto" w:line="240" w:before="0" w:after="0"/>
              <w:jc w:val="left"/>
              <w:rPr>
                <w:rFonts w:eastAsia="MS Mincho" w:cs="Calibri" w:cstheme="minorHAnsi"/>
                <w:iCs/>
              </w:rPr>
            </w:pPr>
            <w:r>
              <w:rPr>
                <w:rFonts w:eastAsia="MS Mincho" w:cs="Calibri" w:cstheme="minorHAnsi"/>
                <w:iCs/>
                <w:kern w:val="0"/>
                <w:sz w:val="22"/>
                <w:szCs w:val="22"/>
                <w:lang w:val="pl-PL" w:eastAsia="en-US" w:bidi="ar-SA"/>
              </w:rPr>
              <w:t>Fundusze europejskie na wzmacnianie</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potencjałów endogenicznych regionu</w:t>
            </w:r>
          </w:p>
        </w:tc>
        <w:tc>
          <w:tcPr>
            <w:tcW w:w="2392" w:type="dxa"/>
            <w:tcBorders/>
          </w:tcPr>
          <w:p>
            <w:pPr>
              <w:pStyle w:val="Normal"/>
              <w:widowControl/>
              <w:spacing w:lineRule="auto" w:line="240" w:before="0" w:after="0"/>
              <w:jc w:val="left"/>
              <w:rPr>
                <w:rFonts w:eastAsia="MS Mincho" w:cs="Calibri" w:cstheme="minorHAnsi"/>
                <w:b/>
                <w:bCs/>
                <w:iCs/>
              </w:rPr>
            </w:pPr>
            <w:r>
              <w:rPr>
                <w:rFonts w:eastAsia="MS Mincho" w:cs="Calibri" w:cstheme="minorHAnsi"/>
                <w:b/>
                <w:bCs/>
                <w:iCs/>
                <w:kern w:val="0"/>
                <w:sz w:val="22"/>
                <w:szCs w:val="22"/>
                <w:lang w:val="pl-PL" w:eastAsia="en-US" w:bidi="ar-SA"/>
              </w:rPr>
              <w:t>5(i)</w:t>
            </w:r>
          </w:p>
          <w:p>
            <w:pPr>
              <w:pStyle w:val="Normal"/>
              <w:widowControl/>
              <w:spacing w:lineRule="auto" w:line="240" w:before="0" w:after="0"/>
              <w:jc w:val="left"/>
              <w:rPr>
                <w:rFonts w:eastAsia="MS Mincho" w:cs="Calibri" w:cstheme="minorHAnsi"/>
                <w:b/>
                <w:bCs/>
                <w:iCs/>
              </w:rPr>
            </w:pPr>
            <w:r>
              <w:rPr>
                <w:rFonts w:eastAsia="MS Mincho" w:cs="Calibri" w:cstheme="minorHAnsi"/>
                <w:iCs/>
                <w:kern w:val="0"/>
                <w:sz w:val="22"/>
                <w:szCs w:val="22"/>
                <w:lang w:val="pl-PL" w:eastAsia="en-US" w:bidi="ar-SA"/>
              </w:rPr>
              <w:t>Wspieranie zintegrowanego</w:t>
              <w:br/>
              <w:t>i sprzyjającego włączeniu społecznemu</w:t>
            </w:r>
          </w:p>
          <w:p>
            <w:pPr>
              <w:pStyle w:val="Normal"/>
              <w:widowControl/>
              <w:spacing w:lineRule="auto" w:line="240" w:before="0" w:after="0"/>
              <w:jc w:val="left"/>
              <w:rPr>
                <w:rFonts w:eastAsia="MS Mincho" w:cs="Calibri" w:cstheme="minorHAnsi"/>
                <w:iCs/>
              </w:rPr>
            </w:pPr>
            <w:r>
              <w:rPr>
                <w:rFonts w:eastAsia="MS Mincho" w:cs="Calibri" w:cstheme="minorHAnsi"/>
                <w:iCs/>
                <w:kern w:val="0"/>
                <w:sz w:val="22"/>
                <w:szCs w:val="22"/>
                <w:lang w:val="pl-PL" w:eastAsia="en-US" w:bidi="ar-SA"/>
              </w:rPr>
              <w:t>rozwoju społecznego, gospodarczego i środowiskowego, kultury, dziedzictwa</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naturalnego, zrównoważonej</w:t>
            </w:r>
            <w:r>
              <w:rPr>
                <w:rFonts w:cs=""/>
                <w:bCs/>
                <w:kern w:val="0"/>
                <w:sz w:val="22"/>
                <w:szCs w:val="22"/>
                <w:lang w:val="pl-PL" w:eastAsia="en-US" w:bidi="ar-SA"/>
              </w:rPr>
              <w:t xml:space="preserve"> </w:t>
            </w:r>
            <w:r>
              <w:rPr>
                <w:rFonts w:cs=""/>
                <w:kern w:val="0"/>
                <w:sz w:val="22"/>
                <w:szCs w:val="22"/>
                <w:lang w:val="pl-PL" w:eastAsia="en-US" w:bidi="ar-SA"/>
              </w:rPr>
              <w:t>turystyki i bezpieczeństwa na obszarach wiejskich</w:t>
            </w:r>
          </w:p>
        </w:tc>
        <w:tc>
          <w:tcPr>
            <w:tcW w:w="2391" w:type="dxa"/>
            <w:tcBorders/>
          </w:tcPr>
          <w:p>
            <w:pPr>
              <w:pStyle w:val="Normal"/>
              <w:widowControl/>
              <w:spacing w:lineRule="auto" w:line="240" w:before="0" w:after="160"/>
              <w:jc w:val="left"/>
              <w:rPr>
                <w:rFonts w:ascii="Calibri" w:hAnsi="Calibri" w:cs=""/>
                <w:kern w:val="0"/>
                <w:sz w:val="22"/>
                <w:szCs w:val="22"/>
                <w:lang w:val="pl-PL" w:eastAsia="en-US" w:bidi="ar-SA"/>
              </w:rPr>
            </w:pPr>
            <w:r>
              <w:rPr>
                <w:rFonts w:cs=""/>
                <w:b/>
                <w:bCs/>
                <w:kern w:val="0"/>
                <w:sz w:val="22"/>
                <w:szCs w:val="22"/>
                <w:lang w:val="pl-PL" w:eastAsia="en-US" w:bidi="ar-SA"/>
              </w:rPr>
              <w:t>„</w:t>
            </w:r>
            <w:r>
              <w:rPr>
                <w:rFonts w:cs=""/>
                <w:b/>
                <w:bCs/>
                <w:kern w:val="0"/>
                <w:sz w:val="22"/>
                <w:szCs w:val="22"/>
                <w:lang w:val="pl-PL" w:eastAsia="en-US" w:bidi="ar-SA"/>
              </w:rPr>
              <w:t xml:space="preserve">Zagospodarowanie terenu przy Plebanii </w:t>
              <w:br/>
              <w:t>w Chodczu na potrzeby społeczności lokalnej"</w:t>
              <w:br/>
            </w:r>
            <w:r>
              <w:rPr>
                <w:rFonts w:cs=""/>
                <w:kern w:val="0"/>
                <w:sz w:val="22"/>
                <w:szCs w:val="22"/>
                <w:lang w:val="pl-PL" w:eastAsia="en-US" w:bidi="ar-SA"/>
              </w:rPr>
              <w:t xml:space="preserve">Przedsięwzięcie będzie obejmować zagospodarowanie terenu przy Plebanii </w:t>
              <w:br/>
              <w:t xml:space="preserve">w Chodczu na potrzeby społeczności lokalnej poprzez: budowę altany wraz z ławeczkami, budowę placu zabaw, montaż urządzeń siłowni na powietrzu, budowę boiska do minigolfa i gry w szachy. Ponadto planuje się nowe nasadzenia oraz montaż małej architektury. </w:t>
            </w:r>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 xml:space="preserve">Realizacja: Miasto </w:t>
              <w:br/>
              <w:t>i Gmina  Chodecz</w:t>
            </w:r>
          </w:p>
        </w:tc>
      </w:tr>
    </w:tbl>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TytuMAPiTABEL"/>
        <w:rPr/>
      </w:pPr>
      <w:bookmarkStart w:id="147" w:name="_Hlk142295696"/>
      <w:bookmarkEnd w:id="147"/>
      <w:r>
        <w:rPr/>
        <w:t>Tabela 20. Wykazanie zgodności planowanej interwencji z celami i priorytetami określonymi w programie Fundusze Europejskie na Infrastrukturę, Klimat, Środowisko na lata 2021-2027</w:t>
      </w:r>
    </w:p>
    <w:tbl>
      <w:tblPr>
        <w:tblStyle w:val="Tabela-Siatka"/>
        <w:tblW w:w="906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45"/>
        <w:gridCol w:w="2205"/>
        <w:gridCol w:w="2217"/>
        <w:gridCol w:w="2399"/>
      </w:tblGrid>
      <w:tr>
        <w:trPr/>
        <w:tc>
          <w:tcPr>
            <w:tcW w:w="2245" w:type="dxa"/>
            <w:tcBorders/>
            <w:shd w:color="auto" w:fill="76B4F3" w:val="clear"/>
            <w:vAlign w:val="center"/>
          </w:tcPr>
          <w:p>
            <w:pPr>
              <w:pStyle w:val="TytuMAPiTABEL"/>
              <w:widowControl/>
              <w:spacing w:before="60" w:after="60"/>
              <w:jc w:val="center"/>
              <w:rPr>
                <w:color w:val="FF0000"/>
                <w:sz w:val="22"/>
                <w:szCs w:val="22"/>
              </w:rPr>
            </w:pPr>
            <w:bookmarkStart w:id="148" w:name="_Hlk142295696"/>
            <w:bookmarkStart w:id="149" w:name="_Hlk142295670"/>
            <w:bookmarkEnd w:id="148"/>
            <w:r>
              <w:rPr>
                <w:kern w:val="0"/>
                <w:sz w:val="22"/>
                <w:szCs w:val="22"/>
                <w:lang w:val="pl-PL" w:eastAsia="en-US" w:bidi="ar-SA"/>
              </w:rPr>
              <w:t>Cel Polityki</w:t>
            </w:r>
          </w:p>
        </w:tc>
        <w:tc>
          <w:tcPr>
            <w:tcW w:w="2205" w:type="dxa"/>
            <w:tcBorders/>
            <w:shd w:color="auto" w:fill="76B4F3" w:val="clear"/>
            <w:vAlign w:val="center"/>
          </w:tcPr>
          <w:p>
            <w:pPr>
              <w:pStyle w:val="TytuMAPiTABEL"/>
              <w:widowControl/>
              <w:spacing w:before="60" w:after="60"/>
              <w:jc w:val="center"/>
              <w:rPr>
                <w:color w:val="FF0000"/>
                <w:sz w:val="22"/>
                <w:szCs w:val="22"/>
              </w:rPr>
            </w:pPr>
            <w:r>
              <w:rPr>
                <w:kern w:val="0"/>
                <w:sz w:val="22"/>
                <w:szCs w:val="22"/>
                <w:lang w:val="pl-PL" w:eastAsia="en-US" w:bidi="ar-SA"/>
              </w:rPr>
              <w:t>Priorytet/Działanie</w:t>
            </w:r>
          </w:p>
        </w:tc>
        <w:tc>
          <w:tcPr>
            <w:tcW w:w="2217" w:type="dxa"/>
            <w:tcBorders/>
            <w:shd w:color="auto" w:fill="76B4F3" w:val="clear"/>
            <w:vAlign w:val="center"/>
          </w:tcPr>
          <w:p>
            <w:pPr>
              <w:pStyle w:val="TytuMAPiTABEL"/>
              <w:widowControl/>
              <w:spacing w:before="60" w:after="60"/>
              <w:jc w:val="center"/>
              <w:rPr>
                <w:color w:val="FF0000"/>
                <w:sz w:val="22"/>
                <w:szCs w:val="22"/>
              </w:rPr>
            </w:pPr>
            <w:r>
              <w:rPr>
                <w:kern w:val="0"/>
                <w:sz w:val="22"/>
                <w:szCs w:val="22"/>
                <w:lang w:val="pl-PL" w:eastAsia="en-US" w:bidi="ar-SA"/>
              </w:rPr>
              <w:t>Cel szczegółowy</w:t>
            </w:r>
          </w:p>
        </w:tc>
        <w:tc>
          <w:tcPr>
            <w:tcW w:w="2399" w:type="dxa"/>
            <w:tcBorders/>
            <w:shd w:color="auto" w:fill="76B4F3" w:val="clear"/>
            <w:vAlign w:val="center"/>
          </w:tcPr>
          <w:p>
            <w:pPr>
              <w:pStyle w:val="TytuMAPiTABEL"/>
              <w:widowControl/>
              <w:spacing w:before="60" w:after="60"/>
              <w:jc w:val="center"/>
              <w:rPr>
                <w:color w:val="FF0000"/>
                <w:sz w:val="22"/>
                <w:szCs w:val="22"/>
              </w:rPr>
            </w:pPr>
            <w:bookmarkStart w:id="150" w:name="_Hlk142295670"/>
            <w:r>
              <w:rPr>
                <w:kern w:val="0"/>
                <w:sz w:val="22"/>
                <w:szCs w:val="22"/>
                <w:lang w:val="pl-PL" w:eastAsia="en-US" w:bidi="ar-SA"/>
              </w:rPr>
              <w:t>Nazwy projektów zgodnych z zakresem wsparcia w ramach celów i priorytetów</w:t>
            </w:r>
            <w:bookmarkEnd w:id="150"/>
          </w:p>
        </w:tc>
      </w:tr>
      <w:tr>
        <w:trPr>
          <w:trHeight w:val="2120" w:hRule="atLeast"/>
        </w:trPr>
        <w:tc>
          <w:tcPr>
            <w:tcW w:w="2245" w:type="dxa"/>
            <w:vMerge w:val="restart"/>
            <w:tcBorders/>
          </w:tcPr>
          <w:p>
            <w:pPr>
              <w:pStyle w:val="TytuMAPiTABEL"/>
              <w:widowControl/>
              <w:spacing w:before="60" w:after="60"/>
              <w:jc w:val="left"/>
              <w:rPr>
                <w:b w:val="false"/>
                <w:sz w:val="22"/>
                <w:szCs w:val="22"/>
              </w:rPr>
            </w:pPr>
            <w:r>
              <w:rPr>
                <w:bCs/>
                <w:kern w:val="0"/>
                <w:sz w:val="22"/>
                <w:szCs w:val="22"/>
                <w:lang w:val="pl-PL" w:eastAsia="en-US" w:bidi="ar-SA"/>
              </w:rPr>
              <w:t>Cel Polityki 2</w:t>
            </w:r>
            <w:r>
              <w:rPr>
                <w:b w:val="false"/>
                <w:kern w:val="0"/>
                <w:sz w:val="22"/>
                <w:szCs w:val="22"/>
                <w:lang w:val="pl-PL" w:eastAsia="en-US" w:bidi="ar-SA"/>
              </w:rPr>
              <w:t xml:space="preserve"> - Bardziej przyjazna dla środowiska, niskoemisyjna i przechodząca w kierunku</w:t>
            </w:r>
          </w:p>
          <w:p>
            <w:pPr>
              <w:pStyle w:val="TytuMAPiTABEL"/>
              <w:widowControl/>
              <w:jc w:val="left"/>
              <w:rPr>
                <w:b w:val="false"/>
                <w:sz w:val="22"/>
                <w:szCs w:val="22"/>
              </w:rPr>
            </w:pPr>
            <w:r>
              <w:rPr>
                <w:b w:val="false"/>
                <w:kern w:val="0"/>
                <w:sz w:val="22"/>
                <w:szCs w:val="22"/>
                <w:lang w:val="pl-PL" w:eastAsia="en-US" w:bidi="ar-SA"/>
              </w:rPr>
              <w:t>gospodarki zeroemisyjnej oraz odporna Europa dzięki promowaniu czystej i</w:t>
            </w:r>
          </w:p>
          <w:p>
            <w:pPr>
              <w:pStyle w:val="TytuMAPiTABEL"/>
              <w:widowControl/>
              <w:spacing w:before="0" w:after="0"/>
              <w:jc w:val="left"/>
              <w:rPr>
                <w:b w:val="false"/>
                <w:sz w:val="22"/>
                <w:szCs w:val="22"/>
              </w:rPr>
            </w:pPr>
            <w:r>
              <w:rPr>
                <w:b w:val="false"/>
                <w:kern w:val="0"/>
                <w:sz w:val="22"/>
                <w:szCs w:val="22"/>
                <w:lang w:val="pl-PL" w:eastAsia="en-US" w:bidi="ar-SA"/>
              </w:rPr>
              <w:t>sprawiedliwej transformacji energetycznej, zielonych i niebieskich inwestycji,</w:t>
            </w:r>
          </w:p>
          <w:p>
            <w:pPr>
              <w:pStyle w:val="TytuMAPiTABEL"/>
              <w:widowControl/>
              <w:spacing w:before="0" w:after="0"/>
              <w:jc w:val="left"/>
              <w:rPr>
                <w:b w:val="false"/>
                <w:sz w:val="22"/>
                <w:szCs w:val="22"/>
              </w:rPr>
            </w:pPr>
            <w:r>
              <w:rPr>
                <w:b w:val="false"/>
                <w:kern w:val="0"/>
                <w:sz w:val="22"/>
                <w:szCs w:val="22"/>
                <w:lang w:val="pl-PL" w:eastAsia="en-US" w:bidi="ar-SA"/>
              </w:rPr>
              <w:t>gospodarki o obiegu zamkniętym, łagodzenia zmian klimatu i przystosowania się</w:t>
            </w:r>
          </w:p>
          <w:p>
            <w:pPr>
              <w:pStyle w:val="TytuMAPiTABEL"/>
              <w:widowControl/>
              <w:spacing w:before="60" w:after="0"/>
              <w:jc w:val="left"/>
              <w:rPr>
                <w:b w:val="false"/>
                <w:sz w:val="22"/>
                <w:szCs w:val="22"/>
              </w:rPr>
            </w:pPr>
            <w:r>
              <w:rPr>
                <w:b w:val="false"/>
                <w:kern w:val="0"/>
                <w:sz w:val="22"/>
                <w:szCs w:val="22"/>
                <w:lang w:val="pl-PL" w:eastAsia="en-US" w:bidi="ar-SA"/>
              </w:rPr>
              <w:t>do nich, zapobiegania ryzyku i zarządzania ryzykiem, oraz zrównoważonej</w:t>
            </w:r>
          </w:p>
          <w:p>
            <w:pPr>
              <w:pStyle w:val="TytuMAPiTABEL"/>
              <w:widowControl/>
              <w:spacing w:before="60" w:after="0"/>
              <w:jc w:val="left"/>
              <w:rPr>
                <w:b w:val="false"/>
                <w:sz w:val="22"/>
                <w:szCs w:val="22"/>
              </w:rPr>
            </w:pPr>
            <w:r>
              <w:rPr>
                <w:b w:val="false"/>
                <w:kern w:val="0"/>
                <w:sz w:val="22"/>
                <w:szCs w:val="22"/>
                <w:lang w:val="pl-PL" w:eastAsia="en-US" w:bidi="ar-SA"/>
              </w:rPr>
              <w:t>mobilności miejskiej</w:t>
            </w:r>
          </w:p>
        </w:tc>
        <w:tc>
          <w:tcPr>
            <w:tcW w:w="2205" w:type="dxa"/>
            <w:tcBorders/>
          </w:tcPr>
          <w:p>
            <w:pPr>
              <w:pStyle w:val="TytuMAPiTABEL"/>
              <w:widowControl/>
              <w:spacing w:before="60" w:after="60"/>
              <w:jc w:val="left"/>
              <w:rPr>
                <w:bCs/>
                <w:sz w:val="22"/>
                <w:szCs w:val="22"/>
              </w:rPr>
            </w:pPr>
            <w:r>
              <w:rPr>
                <w:bCs/>
                <w:kern w:val="0"/>
                <w:sz w:val="22"/>
                <w:szCs w:val="22"/>
                <w:lang w:val="pl-PL" w:eastAsia="en-US" w:bidi="ar-SA"/>
              </w:rPr>
              <w:t>Priorytet FENX.01</w:t>
            </w:r>
            <w:r>
              <w:rPr>
                <w:b w:val="false"/>
                <w:kern w:val="0"/>
                <w:sz w:val="22"/>
                <w:szCs w:val="22"/>
                <w:lang w:val="pl-PL" w:eastAsia="en-US" w:bidi="ar-SA"/>
              </w:rPr>
              <w:t xml:space="preserve"> Adaptacja terenów zurbanizowanych do zmian klimatu</w:t>
            </w:r>
            <w:r>
              <w:rPr>
                <w:bCs/>
                <w:kern w:val="0"/>
                <w:sz w:val="22"/>
                <w:szCs w:val="22"/>
                <w:lang w:val="pl-PL" w:eastAsia="en-US" w:bidi="ar-SA"/>
              </w:rPr>
              <w:t xml:space="preserve"> </w:t>
            </w:r>
          </w:p>
          <w:p>
            <w:pPr>
              <w:pStyle w:val="TytuMAPiTABEL"/>
              <w:widowControl/>
              <w:jc w:val="left"/>
              <w:rPr>
                <w:bCs/>
                <w:sz w:val="22"/>
                <w:szCs w:val="22"/>
              </w:rPr>
            </w:pPr>
            <w:r>
              <w:rPr>
                <w:bCs/>
                <w:kern w:val="0"/>
                <w:sz w:val="22"/>
                <w:szCs w:val="22"/>
                <w:lang w:val="pl-PL" w:eastAsia="en-US" w:bidi="ar-SA"/>
              </w:rPr>
            </w:r>
          </w:p>
          <w:p>
            <w:pPr>
              <w:pStyle w:val="TytuMAPiTABEL"/>
              <w:widowControl/>
              <w:jc w:val="left"/>
              <w:rPr>
                <w:bCs/>
                <w:sz w:val="22"/>
                <w:szCs w:val="22"/>
              </w:rPr>
            </w:pPr>
            <w:r>
              <w:rPr>
                <w:bCs/>
                <w:kern w:val="0"/>
                <w:sz w:val="22"/>
                <w:szCs w:val="22"/>
                <w:lang w:val="pl-PL" w:eastAsia="en-US" w:bidi="ar-SA"/>
              </w:rPr>
              <w:t>Działanie 01.02</w:t>
            </w:r>
          </w:p>
          <w:p>
            <w:pPr>
              <w:pStyle w:val="TytuMAPiTABEL"/>
              <w:widowControl/>
              <w:spacing w:before="60" w:after="60"/>
              <w:jc w:val="left"/>
              <w:rPr>
                <w:b w:val="false"/>
                <w:sz w:val="22"/>
                <w:szCs w:val="22"/>
              </w:rPr>
            </w:pPr>
            <w:r>
              <w:rPr>
                <w:b w:val="false"/>
                <w:kern w:val="0"/>
                <w:sz w:val="22"/>
                <w:szCs w:val="22"/>
                <w:lang w:val="pl-PL" w:eastAsia="en-US" w:bidi="ar-SA"/>
              </w:rPr>
              <w:t>Adaptacja terenów zurbanizowanych</w:t>
              <w:br/>
              <w:t xml:space="preserve"> do zmian klimatu</w:t>
            </w:r>
          </w:p>
        </w:tc>
        <w:tc>
          <w:tcPr>
            <w:tcW w:w="2217" w:type="dxa"/>
            <w:tcBorders/>
          </w:tcPr>
          <w:p>
            <w:pPr>
              <w:pStyle w:val="TytuMAPiTABEL"/>
              <w:widowControl/>
              <w:spacing w:before="60" w:after="0"/>
              <w:jc w:val="left"/>
              <w:rPr>
                <w:b w:val="false"/>
                <w:sz w:val="22"/>
                <w:szCs w:val="22"/>
              </w:rPr>
            </w:pPr>
            <w:r>
              <w:rPr>
                <w:bCs/>
                <w:kern w:val="0"/>
                <w:sz w:val="22"/>
                <w:szCs w:val="22"/>
                <w:lang w:val="pl-PL" w:eastAsia="en-US" w:bidi="ar-SA"/>
              </w:rPr>
              <w:t>Cel szczegółowy</w:t>
            </w:r>
            <w:r>
              <w:rPr>
                <w:b w:val="false"/>
                <w:kern w:val="0"/>
                <w:sz w:val="22"/>
                <w:szCs w:val="22"/>
                <w:lang w:val="pl-PL" w:eastAsia="en-US" w:bidi="ar-SA"/>
              </w:rPr>
              <w:t xml:space="preserve"> EFRR/FS.CP2.IV - Wspieranie przystosowania się do zmian klimatu i zapobiegania ryzyku związanemu z klęskami żywiołowymi i katastrofami, a także odporności, z uwzględnieniem podejścia ekosystemowego</w:t>
            </w:r>
          </w:p>
          <w:p>
            <w:pPr>
              <w:pStyle w:val="TytuMAPiTABEL"/>
              <w:widowControl/>
              <w:spacing w:before="60" w:after="60"/>
              <w:jc w:val="left"/>
              <w:rPr>
                <w:b w:val="false"/>
                <w:sz w:val="22"/>
                <w:szCs w:val="22"/>
              </w:rPr>
            </w:pPr>
            <w:r>
              <w:rPr>
                <w:b w:val="false"/>
                <w:kern w:val="0"/>
                <w:sz w:val="22"/>
                <w:szCs w:val="22"/>
                <w:lang w:val="pl-PL" w:eastAsia="en-US" w:bidi="ar-SA"/>
              </w:rPr>
            </w:r>
          </w:p>
        </w:tc>
        <w:tc>
          <w:tcPr>
            <w:tcW w:w="2399"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 xml:space="preserve">Adaptacja Miasta Włocławek do zmian klimatu” </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 xml:space="preserve">W ramach projektu planowane jest wdrożenie inwestycji określonych w Planie Adaptacji Miasta Włocławka do zmian klimatu do roku 2030, obejmujących m.in. systemy gospodarowania wodami opadowymi </w:t>
              <w:br/>
              <w:t>z udziałem zieleni, zielono-niebieskiej infrastruktury, rozwiązań opartych na przyrodzie, w tym urządzenie kolejnych parków miejskich.</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r>
          </w:p>
          <w:p>
            <w:pPr>
              <w:pStyle w:val="Normal"/>
              <w:widowControl/>
              <w:spacing w:lineRule="auto" w:line="240" w:before="0" w:after="160"/>
              <w:jc w:val="left"/>
              <w:rPr>
                <w:rFonts w:cs="Calibri" w:cstheme="minorHAnsi"/>
                <w:b/>
                <w:bCs/>
              </w:rPr>
            </w:pPr>
            <w:r>
              <w:rPr>
                <w:rFonts w:cs="Calibri" w:cstheme="minorHAnsi"/>
                <w:kern w:val="0"/>
                <w:sz w:val="22"/>
                <w:szCs w:val="22"/>
                <w:lang w:val="pl-PL" w:eastAsia="en-US" w:bidi="ar-SA"/>
              </w:rPr>
              <w:t>Realizacja: Gmina Miasto Włocławek</w:t>
            </w:r>
            <w:r>
              <w:rPr>
                <w:rFonts w:cs="Calibri" w:cstheme="minorHAnsi"/>
                <w:b/>
                <w:bCs/>
                <w:kern w:val="0"/>
                <w:sz w:val="22"/>
                <w:szCs w:val="22"/>
                <w:lang w:val="pl-PL" w:eastAsia="en-US" w:bidi="ar-SA"/>
              </w:rPr>
              <w:t xml:space="preserve"> </w:t>
            </w:r>
          </w:p>
        </w:tc>
      </w:tr>
      <w:tr>
        <w:trPr/>
        <w:tc>
          <w:tcPr>
            <w:tcW w:w="2245" w:type="dxa"/>
            <w:vMerge w:val="continue"/>
            <w:tcBorders/>
          </w:tcPr>
          <w:p>
            <w:pPr>
              <w:pStyle w:val="TytuMAPiTABEL"/>
              <w:widowControl/>
              <w:spacing w:before="60" w:after="60"/>
              <w:jc w:val="left"/>
              <w:rPr>
                <w:bCs/>
                <w:sz w:val="22"/>
                <w:szCs w:val="22"/>
              </w:rPr>
            </w:pPr>
            <w:r>
              <w:rPr>
                <w:bCs/>
                <w:kern w:val="0"/>
                <w:sz w:val="22"/>
                <w:szCs w:val="22"/>
                <w:lang w:val="pl-PL" w:eastAsia="en-US" w:bidi="ar-SA"/>
              </w:rPr>
            </w:r>
          </w:p>
        </w:tc>
        <w:tc>
          <w:tcPr>
            <w:tcW w:w="2205" w:type="dxa"/>
            <w:tcBorders/>
          </w:tcPr>
          <w:p>
            <w:pPr>
              <w:pStyle w:val="TytuMAPiTABEL"/>
              <w:widowControl/>
              <w:spacing w:before="60" w:after="60"/>
              <w:jc w:val="left"/>
              <w:rPr>
                <w:b w:val="false"/>
                <w:sz w:val="22"/>
                <w:szCs w:val="22"/>
              </w:rPr>
            </w:pPr>
            <w:r>
              <w:rPr>
                <w:bCs/>
                <w:kern w:val="0"/>
                <w:sz w:val="22"/>
                <w:szCs w:val="22"/>
                <w:lang w:val="pl-PL" w:eastAsia="en-US" w:bidi="ar-SA"/>
              </w:rPr>
              <w:t>Priorytet FENX.03</w:t>
            </w:r>
            <w:r>
              <w:rPr>
                <w:b w:val="false"/>
                <w:kern w:val="0"/>
                <w:sz w:val="22"/>
                <w:szCs w:val="22"/>
                <w:lang w:val="pl-PL" w:eastAsia="en-US" w:bidi="ar-SA"/>
              </w:rPr>
              <w:t xml:space="preserve"> Transport miejski</w:t>
            </w:r>
          </w:p>
          <w:p>
            <w:pPr>
              <w:pStyle w:val="TytuMAPiTABEL"/>
              <w:widowControl/>
              <w:jc w:val="left"/>
              <w:rPr>
                <w:b w:val="false"/>
                <w:sz w:val="22"/>
                <w:szCs w:val="22"/>
              </w:rPr>
            </w:pPr>
            <w:r>
              <w:rPr>
                <w:b w:val="false"/>
                <w:kern w:val="0"/>
                <w:sz w:val="22"/>
                <w:szCs w:val="22"/>
                <w:lang w:val="pl-PL" w:eastAsia="en-US" w:bidi="ar-SA"/>
              </w:rPr>
            </w:r>
          </w:p>
          <w:p>
            <w:pPr>
              <w:pStyle w:val="TytuMAPiTABEL"/>
              <w:widowControl/>
              <w:spacing w:before="0" w:after="0"/>
              <w:jc w:val="left"/>
              <w:rPr>
                <w:bCs/>
                <w:sz w:val="22"/>
                <w:szCs w:val="22"/>
              </w:rPr>
            </w:pPr>
            <w:r>
              <w:rPr>
                <w:bCs/>
                <w:kern w:val="0"/>
                <w:sz w:val="22"/>
                <w:szCs w:val="22"/>
                <w:lang w:val="pl-PL" w:eastAsia="en-US" w:bidi="ar-SA"/>
              </w:rPr>
              <w:t>Działanie 03.01</w:t>
            </w:r>
          </w:p>
          <w:p>
            <w:pPr>
              <w:pStyle w:val="TytuMAPiTABEL"/>
              <w:widowControl/>
              <w:spacing w:before="0" w:after="0"/>
              <w:jc w:val="left"/>
              <w:rPr>
                <w:b w:val="false"/>
                <w:sz w:val="22"/>
                <w:szCs w:val="22"/>
              </w:rPr>
            </w:pPr>
            <w:r>
              <w:rPr>
                <w:b w:val="false"/>
                <w:kern w:val="0"/>
                <w:sz w:val="22"/>
                <w:szCs w:val="22"/>
                <w:lang w:val="pl-PL" w:eastAsia="en-US" w:bidi="ar-SA"/>
              </w:rPr>
              <w:t>Transport miejski</w:t>
            </w:r>
          </w:p>
          <w:p>
            <w:pPr>
              <w:pStyle w:val="TytuMAPiTABEL"/>
              <w:widowControl/>
              <w:spacing w:before="60" w:after="60"/>
              <w:jc w:val="left"/>
              <w:rPr>
                <w:bCs/>
                <w:sz w:val="22"/>
                <w:szCs w:val="22"/>
              </w:rPr>
            </w:pPr>
            <w:r>
              <w:rPr>
                <w:bCs/>
                <w:kern w:val="0"/>
                <w:sz w:val="22"/>
                <w:szCs w:val="22"/>
                <w:lang w:val="pl-PL" w:eastAsia="en-US" w:bidi="ar-SA"/>
              </w:rPr>
            </w:r>
          </w:p>
        </w:tc>
        <w:tc>
          <w:tcPr>
            <w:tcW w:w="2217" w:type="dxa"/>
            <w:tcBorders/>
          </w:tcPr>
          <w:p>
            <w:pPr>
              <w:pStyle w:val="TytuMAPiTABEL"/>
              <w:widowControl/>
              <w:spacing w:before="60" w:after="0"/>
              <w:rPr>
                <w:bCs/>
                <w:sz w:val="22"/>
                <w:szCs w:val="22"/>
              </w:rPr>
            </w:pPr>
            <w:r>
              <w:rPr>
                <w:bCs/>
                <w:kern w:val="0"/>
                <w:sz w:val="22"/>
                <w:szCs w:val="22"/>
                <w:lang w:val="pl-PL" w:eastAsia="en-US" w:bidi="ar-SA"/>
              </w:rPr>
              <w:t>Cel szczegółowy</w:t>
            </w:r>
          </w:p>
          <w:p>
            <w:pPr>
              <w:pStyle w:val="TytuMAPiTABEL"/>
              <w:widowControl/>
              <w:spacing w:before="60" w:after="0"/>
              <w:rPr>
                <w:b w:val="false"/>
                <w:sz w:val="22"/>
                <w:szCs w:val="22"/>
              </w:rPr>
            </w:pPr>
            <w:r>
              <w:rPr>
                <w:b w:val="false"/>
                <w:kern w:val="0"/>
                <w:sz w:val="22"/>
                <w:szCs w:val="22"/>
                <w:lang w:val="pl-PL" w:eastAsia="en-US" w:bidi="ar-SA"/>
              </w:rPr>
              <w:t>EFRR/FS.CP2.VIII - Wspieranie zrównoważonej multimodalnej mobilności miejskiej</w:t>
            </w:r>
          </w:p>
          <w:p>
            <w:pPr>
              <w:pStyle w:val="TytuMAPiTABEL"/>
              <w:widowControl/>
              <w:jc w:val="left"/>
              <w:rPr>
                <w:b w:val="false"/>
                <w:sz w:val="22"/>
                <w:szCs w:val="22"/>
              </w:rPr>
            </w:pPr>
            <w:r>
              <w:rPr>
                <w:b w:val="false"/>
                <w:kern w:val="0"/>
                <w:sz w:val="22"/>
                <w:szCs w:val="22"/>
                <w:lang w:val="pl-PL" w:eastAsia="en-US" w:bidi="ar-SA"/>
              </w:rPr>
              <w:t>jako elementu transformacji w kierunku gospodarki zeroemisyjnej</w:t>
            </w:r>
          </w:p>
          <w:p>
            <w:pPr>
              <w:pStyle w:val="TytuMAPiTABEL"/>
              <w:widowControl/>
              <w:spacing w:before="60" w:after="0"/>
              <w:jc w:val="left"/>
              <w:rPr>
                <w:bCs/>
                <w:sz w:val="22"/>
                <w:szCs w:val="22"/>
              </w:rPr>
            </w:pPr>
            <w:r>
              <w:rPr>
                <w:bCs/>
                <w:kern w:val="0"/>
                <w:sz w:val="22"/>
                <w:szCs w:val="22"/>
                <w:lang w:val="pl-PL" w:eastAsia="en-US" w:bidi="ar-SA"/>
              </w:rPr>
            </w:r>
          </w:p>
        </w:tc>
        <w:tc>
          <w:tcPr>
            <w:tcW w:w="2399" w:type="dxa"/>
            <w:tcBorders/>
          </w:tcPr>
          <w:p>
            <w:pPr>
              <w:pStyle w:val="Normal"/>
              <w:widowControl/>
              <w:spacing w:lineRule="auto" w:line="240" w:before="0" w:after="160"/>
              <w:jc w:val="left"/>
              <w:rPr>
                <w:rFonts w:cs="Calibri" w:cstheme="minorHAnsi"/>
                <w:b/>
                <w:bCs/>
              </w:rPr>
            </w:pPr>
            <w:r>
              <w:rPr>
                <w:rFonts w:cs="Calibri" w:cstheme="minorHAnsi"/>
                <w:b/>
                <w:bCs/>
                <w:kern w:val="0"/>
                <w:sz w:val="22"/>
                <w:szCs w:val="22"/>
                <w:lang w:val="pl-PL" w:eastAsia="en-US" w:bidi="ar-SA"/>
              </w:rPr>
              <w:t>„</w:t>
            </w:r>
            <w:r>
              <w:rPr>
                <w:rFonts w:cs="Calibri" w:cstheme="minorHAnsi"/>
                <w:b/>
                <w:bCs/>
                <w:kern w:val="0"/>
                <w:sz w:val="22"/>
                <w:szCs w:val="22"/>
                <w:lang w:val="pl-PL" w:eastAsia="en-US" w:bidi="ar-SA"/>
              </w:rPr>
              <w:t xml:space="preserve">Przebudowa </w:t>
              <w:br/>
              <w:t>i rozbudowa istniejącego Centrum Przesiadkowego we Włocławku w multimodalny węzeł przesiadkowy”</w:t>
            </w:r>
          </w:p>
          <w:p>
            <w:pPr>
              <w:pStyle w:val="Normal"/>
              <w:widowControl/>
              <w:spacing w:lineRule="auto" w:line="240" w:before="0" w:after="0"/>
              <w:jc w:val="left"/>
              <w:rPr>
                <w:rFonts w:cs="Calibri" w:cstheme="minorHAnsi"/>
              </w:rPr>
            </w:pPr>
            <w:r>
              <w:rPr>
                <w:rFonts w:cs="Calibri" w:cstheme="minorHAnsi"/>
                <w:kern w:val="0"/>
                <w:sz w:val="22"/>
                <w:szCs w:val="22"/>
                <w:lang w:val="pl-PL" w:eastAsia="en-US" w:bidi="ar-SA"/>
              </w:rPr>
              <w:t xml:space="preserve">Projekt będzie polegał na przebudowie </w:t>
              <w:br/>
              <w:t xml:space="preserve">i rozbudowie istniejącego Centrum Przesiadkowego </w:t>
              <w:br/>
              <w:t xml:space="preserve">w multimodalny węzeł przesiadkowy </w:t>
              <w:br/>
              <w:t xml:space="preserve">z dostosowaniem do aktualnych natężeń potoków pasażerskich wraz z budową parkingu kubaturowego na ul. Węglowej oraz połączeniem z drogą krajową (dk91). </w:t>
            </w:r>
          </w:p>
          <w:p>
            <w:pPr>
              <w:pStyle w:val="Normal"/>
              <w:widowControl/>
              <w:spacing w:lineRule="auto" w:line="240" w:before="0" w:after="0"/>
              <w:jc w:val="left"/>
              <w:rPr>
                <w:rFonts w:cs="Calibri" w:cstheme="minorHAnsi"/>
              </w:rPr>
            </w:pPr>
            <w:r>
              <w:rPr>
                <w:rFonts w:cs="Calibri" w:cstheme="minorHAnsi"/>
                <w:kern w:val="0"/>
                <w:sz w:val="22"/>
                <w:szCs w:val="22"/>
                <w:lang w:val="pl-PL" w:eastAsia="en-US" w:bidi="ar-SA"/>
              </w:rPr>
            </w:r>
          </w:p>
          <w:p>
            <w:pPr>
              <w:pStyle w:val="Normal"/>
              <w:widowControl/>
              <w:spacing w:lineRule="auto" w:line="240" w:before="0" w:after="0"/>
              <w:jc w:val="left"/>
              <w:rPr>
                <w:rFonts w:cs="Calibri" w:cstheme="minorHAnsi"/>
              </w:rPr>
            </w:pPr>
            <w:r>
              <w:rPr>
                <w:rFonts w:cs="Calibri" w:cstheme="minorHAnsi"/>
                <w:kern w:val="0"/>
                <w:sz w:val="22"/>
                <w:szCs w:val="22"/>
                <w:lang w:val="pl-PL" w:eastAsia="en-US" w:bidi="ar-SA"/>
              </w:rPr>
              <w:t>Realizacja: Gmina Miasto Włocławek</w:t>
            </w:r>
          </w:p>
          <w:p>
            <w:pPr>
              <w:pStyle w:val="Normal"/>
              <w:widowControl/>
              <w:spacing w:lineRule="auto" w:line="240" w:before="0" w:after="0"/>
              <w:jc w:val="left"/>
              <w:rPr>
                <w:rFonts w:cs="Calibri" w:cstheme="minorHAnsi"/>
              </w:rPr>
            </w:pPr>
            <w:r>
              <w:rPr>
                <w:rFonts w:cs="Calibri" w:cstheme="minorHAnsi"/>
                <w:kern w:val="0"/>
                <w:sz w:val="22"/>
                <w:szCs w:val="22"/>
                <w:lang w:val="pl-PL" w:eastAsia="en-US" w:bidi="ar-SA"/>
              </w:rPr>
            </w:r>
          </w:p>
        </w:tc>
      </w:tr>
    </w:tbl>
    <w:p>
      <w:pPr>
        <w:pStyle w:val="TytuMAPiTABEL"/>
        <w:rPr/>
      </w:pPr>
      <w:r>
        <w:rPr/>
      </w:r>
    </w:p>
    <w:p>
      <w:pPr>
        <w:pStyle w:val="TytuMAPiTABEL"/>
        <w:rPr/>
      </w:pPr>
      <w:r>
        <w:rPr/>
        <w:t>Tabela 21. Wykazanie zgodności planowanej interwencji z celami i priorytetami określonymi w programie Wojewódzkiego Funduszu Ochrony środowiska i Gospodarki Wodnej</w:t>
      </w:r>
    </w:p>
    <w:p>
      <w:pPr>
        <w:pStyle w:val="TytuMAPiTABEL"/>
        <w:rPr/>
      </w:pPr>
      <w:r>
        <w:rPr/>
      </w:r>
    </w:p>
    <w:tbl>
      <w:tblPr>
        <w:tblStyle w:val="Tabela-Siatka"/>
        <w:tblW w:w="93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63"/>
        <w:gridCol w:w="5387"/>
      </w:tblGrid>
      <w:tr>
        <w:trPr/>
        <w:tc>
          <w:tcPr>
            <w:tcW w:w="3963" w:type="dxa"/>
            <w:tcBorders/>
            <w:shd w:color="auto" w:fill="76B4F3" w:val="clear"/>
            <w:vAlign w:val="center"/>
          </w:tcPr>
          <w:p>
            <w:pPr>
              <w:pStyle w:val="TytuMAPiTABEL"/>
              <w:widowControl/>
              <w:spacing w:before="60" w:after="60"/>
              <w:jc w:val="center"/>
              <w:rPr>
                <w:sz w:val="22"/>
                <w:szCs w:val="22"/>
              </w:rPr>
            </w:pPr>
            <w:r>
              <w:rPr>
                <w:kern w:val="0"/>
                <w:sz w:val="22"/>
                <w:szCs w:val="22"/>
                <w:lang w:val="pl-PL" w:eastAsia="en-US" w:bidi="ar-SA"/>
              </w:rPr>
            </w:r>
            <w:bookmarkStart w:id="151" w:name="_Hlk142298004"/>
            <w:bookmarkStart w:id="152" w:name="_Hlk142298004"/>
          </w:p>
          <w:p>
            <w:pPr>
              <w:pStyle w:val="TytuMAPiTABEL"/>
              <w:widowControl/>
              <w:jc w:val="center"/>
              <w:rPr>
                <w:sz w:val="22"/>
                <w:szCs w:val="22"/>
              </w:rPr>
            </w:pPr>
            <w:r>
              <w:rPr>
                <w:kern w:val="0"/>
                <w:sz w:val="22"/>
                <w:szCs w:val="22"/>
                <w:lang w:val="pl-PL" w:eastAsia="en-US" w:bidi="ar-SA"/>
              </w:rPr>
              <w:t>Cel Programu</w:t>
            </w:r>
          </w:p>
          <w:p>
            <w:pPr>
              <w:pStyle w:val="TytuMAPiTABEL"/>
              <w:widowControl/>
              <w:spacing w:before="60" w:after="60"/>
              <w:jc w:val="center"/>
              <w:rPr>
                <w:color w:val="FF0000"/>
                <w:sz w:val="22"/>
                <w:szCs w:val="22"/>
              </w:rPr>
            </w:pPr>
            <w:r>
              <w:rPr>
                <w:color w:val="FF0000"/>
                <w:kern w:val="0"/>
                <w:sz w:val="22"/>
                <w:szCs w:val="22"/>
                <w:lang w:val="pl-PL" w:eastAsia="en-US" w:bidi="ar-SA"/>
              </w:rPr>
            </w:r>
          </w:p>
        </w:tc>
        <w:tc>
          <w:tcPr>
            <w:tcW w:w="5387" w:type="dxa"/>
            <w:tcBorders/>
            <w:shd w:color="auto" w:fill="76B4F3" w:val="clear"/>
            <w:vAlign w:val="center"/>
          </w:tcPr>
          <w:p>
            <w:pPr>
              <w:pStyle w:val="TytuMAPiTABEL"/>
              <w:widowControl/>
              <w:spacing w:before="60" w:after="60"/>
              <w:jc w:val="center"/>
              <w:rPr>
                <w:color w:val="FF0000"/>
                <w:sz w:val="22"/>
                <w:szCs w:val="22"/>
              </w:rPr>
            </w:pPr>
            <w:r>
              <w:rPr>
                <w:kern w:val="0"/>
                <w:sz w:val="22"/>
                <w:szCs w:val="22"/>
                <w:lang w:val="pl-PL" w:eastAsia="en-US" w:bidi="ar-SA"/>
              </w:rPr>
              <w:t xml:space="preserve">Nazwy projektów zgodnych z zakresem wsparcia </w:t>
            </w:r>
          </w:p>
        </w:tc>
      </w:tr>
      <w:tr>
        <w:trPr/>
        <w:tc>
          <w:tcPr>
            <w:tcW w:w="3963" w:type="dxa"/>
            <w:tcBorders/>
          </w:tcPr>
          <w:p>
            <w:pPr>
              <w:pStyle w:val="TytuMAPiTABEL"/>
              <w:widowControl/>
              <w:spacing w:before="0" w:after="0"/>
              <w:jc w:val="left"/>
              <w:rPr>
                <w:bCs/>
                <w:sz w:val="22"/>
                <w:szCs w:val="22"/>
              </w:rPr>
            </w:pPr>
            <w:r>
              <w:rPr>
                <w:bCs/>
                <w:kern w:val="0"/>
                <w:sz w:val="22"/>
                <w:szCs w:val="22"/>
                <w:lang w:val="pl-PL" w:eastAsia="en-US" w:bidi="ar-SA"/>
              </w:rPr>
              <w:t>Cel Programu</w:t>
            </w:r>
          </w:p>
          <w:p>
            <w:pPr>
              <w:pStyle w:val="TytuMAPiTABEL"/>
              <w:widowControl/>
              <w:spacing w:before="0" w:after="0"/>
              <w:jc w:val="left"/>
              <w:rPr>
                <w:b w:val="false"/>
                <w:sz w:val="22"/>
                <w:szCs w:val="22"/>
              </w:rPr>
            </w:pPr>
            <w:r>
              <w:rPr>
                <w:b w:val="false"/>
                <w:kern w:val="0"/>
                <w:sz w:val="22"/>
                <w:szCs w:val="22"/>
                <w:lang w:val="pl-PL" w:eastAsia="en-US" w:bidi="ar-SA"/>
              </w:rPr>
              <w:t>1. Usunięcie i unieszkodliwienie wyrobów zawierających azbest;</w:t>
            </w:r>
          </w:p>
          <w:p>
            <w:pPr>
              <w:pStyle w:val="TytuMAPiTABEL"/>
              <w:widowControl/>
              <w:spacing w:before="0" w:after="0"/>
              <w:jc w:val="left"/>
              <w:rPr>
                <w:b w:val="false"/>
                <w:sz w:val="22"/>
                <w:szCs w:val="22"/>
              </w:rPr>
            </w:pPr>
            <w:r>
              <w:rPr>
                <w:b w:val="false"/>
                <w:kern w:val="0"/>
                <w:sz w:val="22"/>
                <w:szCs w:val="22"/>
                <w:lang w:val="pl-PL" w:eastAsia="en-US" w:bidi="ar-SA"/>
              </w:rPr>
              <w:t>2. Minimalizacja negatywnych skutków zdrowotnych spowodowanych obecnością azbestu na terytorium kraju;</w:t>
            </w:r>
          </w:p>
          <w:p>
            <w:pPr>
              <w:pStyle w:val="TytuMAPiTABEL"/>
              <w:widowControl/>
              <w:spacing w:before="60" w:after="60"/>
              <w:jc w:val="left"/>
              <w:rPr>
                <w:b w:val="false"/>
                <w:sz w:val="22"/>
                <w:szCs w:val="22"/>
              </w:rPr>
            </w:pPr>
            <w:r>
              <w:rPr>
                <w:b w:val="false"/>
                <w:kern w:val="0"/>
                <w:sz w:val="22"/>
                <w:szCs w:val="22"/>
                <w:lang w:val="pl-PL" w:eastAsia="en-US" w:bidi="ar-SA"/>
              </w:rPr>
              <w:t>3. Likwidacja szkodliwego oddziaływania azbestu na środowisko.</w:t>
            </w:r>
          </w:p>
        </w:tc>
        <w:tc>
          <w:tcPr>
            <w:tcW w:w="5387" w:type="dxa"/>
            <w:tcBorders/>
          </w:tcPr>
          <w:p>
            <w:pPr>
              <w:pStyle w:val="Normal"/>
              <w:widowControl/>
              <w:spacing w:lineRule="auto" w:line="240" w:before="0" w:after="0"/>
              <w:jc w:val="left"/>
              <w:rPr>
                <w:b/>
                <w:bCs/>
              </w:rPr>
            </w:pPr>
            <w:r>
              <w:rPr>
                <w:rFonts w:cs=""/>
                <w:b/>
                <w:bCs/>
                <w:kern w:val="0"/>
                <w:sz w:val="22"/>
                <w:szCs w:val="22"/>
                <w:lang w:val="pl-PL" w:eastAsia="en-US" w:bidi="ar-SA"/>
              </w:rPr>
              <w:t>„</w:t>
            </w:r>
            <w:r>
              <w:rPr>
                <w:rFonts w:cs=""/>
                <w:b/>
                <w:bCs/>
                <w:kern w:val="0"/>
                <w:sz w:val="22"/>
                <w:szCs w:val="22"/>
                <w:lang w:val="pl-PL" w:eastAsia="en-US" w:bidi="ar-SA"/>
              </w:rPr>
              <w:t>Usuwanie azbestu i wyrobów zawierających azbest dla Gminy Lubanie na lata 2010 – 2032”</w:t>
            </w:r>
          </w:p>
          <w:p>
            <w:pPr>
              <w:pStyle w:val="Normal"/>
              <w:widowControl/>
              <w:spacing w:lineRule="auto" w:line="240" w:before="0" w:after="0"/>
              <w:jc w:val="left"/>
              <w:rPr>
                <w:rFonts w:ascii="Calibri" w:hAnsi="Calibri" w:cs=""/>
                <w:kern w:val="0"/>
                <w:sz w:val="22"/>
                <w:szCs w:val="22"/>
                <w:lang w:val="pl-PL" w:eastAsia="en-US" w:bidi="ar-SA"/>
              </w:rPr>
            </w:pPr>
            <w:r>
              <w:rPr>
                <w:rFonts w:cs=""/>
                <w:kern w:val="0"/>
                <w:sz w:val="22"/>
                <w:szCs w:val="22"/>
                <w:lang w:val="pl-PL" w:eastAsia="en-US" w:bidi="ar-SA"/>
              </w:rPr>
              <w:t>W ramach zadania planowana jest kontynuacja usuwania i unieszkodliwienia wyrobów zawierających azbest w Gminie Lubanie.</w:t>
            </w:r>
          </w:p>
          <w:p>
            <w:pPr>
              <w:pStyle w:val="Normal"/>
              <w:widowControl/>
              <w:spacing w:lineRule="auto" w:line="240" w:before="0" w:after="0"/>
              <w:jc w:val="left"/>
              <w:rPr>
                <w:rFonts w:cs="Calibri" w:cstheme="minorHAnsi"/>
              </w:rPr>
            </w:pPr>
            <w:r>
              <w:rPr>
                <w:rFonts w:cs="Calibri" w:cstheme="minorHAnsi"/>
                <w:kern w:val="0"/>
                <w:sz w:val="22"/>
                <w:szCs w:val="22"/>
                <w:lang w:val="pl-PL" w:eastAsia="en-US" w:bidi="ar-SA"/>
              </w:rPr>
            </w:r>
          </w:p>
          <w:p>
            <w:pPr>
              <w:pStyle w:val="Normal"/>
              <w:widowControl/>
              <w:spacing w:lineRule="auto" w:line="240" w:before="0" w:after="0"/>
              <w:jc w:val="left"/>
              <w:rPr>
                <w:rFonts w:cs="Calibri" w:cstheme="minorHAnsi"/>
              </w:rPr>
            </w:pPr>
            <w:bookmarkStart w:id="153" w:name="_Hlk142298004"/>
            <w:r>
              <w:rPr>
                <w:rFonts w:cs="Calibri" w:cstheme="minorHAnsi"/>
                <w:kern w:val="0"/>
                <w:sz w:val="22"/>
                <w:szCs w:val="22"/>
                <w:lang w:val="pl-PL" w:eastAsia="en-US" w:bidi="ar-SA"/>
              </w:rPr>
              <w:t>Realizacja: Gmina Lubanie</w:t>
            </w:r>
            <w:bookmarkEnd w:id="153"/>
          </w:p>
        </w:tc>
      </w:tr>
    </w:tbl>
    <w:p>
      <w:pPr>
        <w:pStyle w:val="TytuMAPiTABEL"/>
        <w:rPr/>
      </w:pPr>
      <w:r>
        <w:rPr/>
      </w:r>
    </w:p>
    <w:p>
      <w:pPr>
        <w:pStyle w:val="TytuMAPiTABEL"/>
        <w:rPr/>
      </w:pPr>
      <w:r>
        <w:rPr/>
        <w:t>Tabela 22. Wykazanie zgodności planowanej interwencji z celami i priorytetami określonymi w programie Narodowego Funduszu Ochrony środowiska i Gospodarki Wodnej</w:t>
      </w:r>
    </w:p>
    <w:p>
      <w:pPr>
        <w:pStyle w:val="TytuMAPiTABEL"/>
        <w:rPr/>
      </w:pPr>
      <w:r>
        <w:rPr/>
      </w:r>
    </w:p>
    <w:tbl>
      <w:tblPr>
        <w:tblStyle w:val="Tabela-Siatka"/>
        <w:tblW w:w="93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63"/>
        <w:gridCol w:w="5387"/>
      </w:tblGrid>
      <w:tr>
        <w:trPr/>
        <w:tc>
          <w:tcPr>
            <w:tcW w:w="3963" w:type="dxa"/>
            <w:tcBorders/>
            <w:shd w:color="auto" w:fill="76B4F3" w:val="clear"/>
            <w:vAlign w:val="center"/>
          </w:tcPr>
          <w:p>
            <w:pPr>
              <w:pStyle w:val="TytuMAPiTABEL"/>
              <w:widowControl/>
              <w:spacing w:before="60" w:after="60"/>
              <w:jc w:val="center"/>
              <w:rPr>
                <w:sz w:val="22"/>
                <w:szCs w:val="22"/>
              </w:rPr>
            </w:pPr>
            <w:r>
              <w:rPr>
                <w:kern w:val="0"/>
                <w:sz w:val="22"/>
                <w:szCs w:val="22"/>
                <w:lang w:val="pl-PL" w:eastAsia="en-US" w:bidi="ar-SA"/>
              </w:rPr>
            </w:r>
          </w:p>
          <w:p>
            <w:pPr>
              <w:pStyle w:val="TytuMAPiTABEL"/>
              <w:widowControl/>
              <w:jc w:val="center"/>
              <w:rPr>
                <w:sz w:val="22"/>
                <w:szCs w:val="22"/>
              </w:rPr>
            </w:pPr>
            <w:r>
              <w:rPr>
                <w:kern w:val="0"/>
                <w:sz w:val="22"/>
                <w:szCs w:val="22"/>
                <w:lang w:val="pl-PL" w:eastAsia="en-US" w:bidi="ar-SA"/>
              </w:rPr>
              <w:t>Cel Programu</w:t>
            </w:r>
          </w:p>
          <w:p>
            <w:pPr>
              <w:pStyle w:val="TytuMAPiTABEL"/>
              <w:widowControl/>
              <w:spacing w:before="60" w:after="60"/>
              <w:jc w:val="center"/>
              <w:rPr>
                <w:color w:val="FF0000"/>
                <w:sz w:val="22"/>
                <w:szCs w:val="22"/>
              </w:rPr>
            </w:pPr>
            <w:r>
              <w:rPr>
                <w:color w:val="FF0000"/>
                <w:kern w:val="0"/>
                <w:sz w:val="22"/>
                <w:szCs w:val="22"/>
                <w:lang w:val="pl-PL" w:eastAsia="en-US" w:bidi="ar-SA"/>
              </w:rPr>
            </w:r>
          </w:p>
        </w:tc>
        <w:tc>
          <w:tcPr>
            <w:tcW w:w="5387" w:type="dxa"/>
            <w:tcBorders/>
            <w:shd w:color="auto" w:fill="76B4F3" w:val="clear"/>
            <w:vAlign w:val="center"/>
          </w:tcPr>
          <w:p>
            <w:pPr>
              <w:pStyle w:val="TytuMAPiTABEL"/>
              <w:widowControl/>
              <w:spacing w:before="60" w:after="60"/>
              <w:jc w:val="center"/>
              <w:rPr>
                <w:color w:val="FF0000"/>
                <w:sz w:val="22"/>
                <w:szCs w:val="22"/>
              </w:rPr>
            </w:pPr>
            <w:r>
              <w:rPr>
                <w:kern w:val="0"/>
                <w:sz w:val="22"/>
                <w:szCs w:val="22"/>
                <w:lang w:val="pl-PL" w:eastAsia="en-US" w:bidi="ar-SA"/>
              </w:rPr>
              <w:t xml:space="preserve">Nazwy projektów zgodnych z zakresem wsparcia </w:t>
            </w:r>
          </w:p>
        </w:tc>
      </w:tr>
      <w:tr>
        <w:trPr/>
        <w:tc>
          <w:tcPr>
            <w:tcW w:w="3963" w:type="dxa"/>
            <w:tcBorders/>
          </w:tcPr>
          <w:p>
            <w:pPr>
              <w:pStyle w:val="TytuMAPiTABEL"/>
              <w:widowControl/>
              <w:spacing w:before="0" w:after="0"/>
              <w:rPr>
                <w:bCs/>
                <w:sz w:val="22"/>
                <w:szCs w:val="22"/>
              </w:rPr>
            </w:pPr>
            <w:r>
              <w:rPr>
                <w:bCs/>
                <w:kern w:val="0"/>
                <w:sz w:val="22"/>
                <w:szCs w:val="22"/>
                <w:lang w:val="pl-PL" w:eastAsia="en-US" w:bidi="ar-SA"/>
              </w:rPr>
              <w:t>Cel programu</w:t>
            </w:r>
          </w:p>
          <w:p>
            <w:pPr>
              <w:pStyle w:val="TytuMAPiTABEL"/>
              <w:widowControl/>
              <w:spacing w:before="0" w:after="0"/>
              <w:jc w:val="left"/>
              <w:rPr>
                <w:b w:val="false"/>
                <w:sz w:val="22"/>
                <w:szCs w:val="22"/>
              </w:rPr>
            </w:pPr>
            <w:r>
              <w:rPr>
                <w:b w:val="false"/>
                <w:kern w:val="0"/>
                <w:sz w:val="22"/>
                <w:szCs w:val="22"/>
                <w:lang w:val="pl-PL" w:eastAsia="en-US" w:bidi="ar-SA"/>
              </w:rPr>
              <w:t>Rozwój systemów zagospodarowania odpadów z tworzyw sztucznych z rolnictwa.</w:t>
            </w:r>
          </w:p>
        </w:tc>
        <w:tc>
          <w:tcPr>
            <w:tcW w:w="5387" w:type="dxa"/>
            <w:tcBorders/>
          </w:tcPr>
          <w:p>
            <w:pPr>
              <w:pStyle w:val="Normal"/>
              <w:widowControl/>
              <w:spacing w:lineRule="auto" w:line="240" w:before="0" w:after="160"/>
              <w:jc w:val="left"/>
              <w:rPr>
                <w:b/>
                <w:bCs/>
              </w:rPr>
            </w:pPr>
            <w:r>
              <w:rPr>
                <w:rFonts w:cs=""/>
                <w:b/>
                <w:bCs/>
                <w:kern w:val="0"/>
                <w:sz w:val="22"/>
                <w:szCs w:val="22"/>
                <w:lang w:val="pl-PL" w:eastAsia="en-US" w:bidi="ar-SA"/>
              </w:rPr>
              <w:t>„</w:t>
            </w:r>
            <w:bookmarkStart w:id="154" w:name="_Hlk142641246"/>
            <w:r>
              <w:rPr>
                <w:rFonts w:cs=""/>
                <w:b/>
                <w:bCs/>
                <w:kern w:val="0"/>
                <w:sz w:val="22"/>
                <w:szCs w:val="22"/>
                <w:lang w:val="pl-PL" w:eastAsia="en-US" w:bidi="ar-SA"/>
              </w:rPr>
              <w:t>Usuwanie folii rolniczych i innych odpadów pochodzących z działalności rolniczej”</w:t>
            </w:r>
            <w:bookmarkEnd w:id="154"/>
          </w:p>
          <w:p>
            <w:pPr>
              <w:pStyle w:val="Normal"/>
              <w:widowControl/>
              <w:spacing w:lineRule="auto" w:line="240" w:before="0" w:after="160"/>
              <w:jc w:val="left"/>
              <w:rPr>
                <w:rFonts w:ascii="Calibri" w:hAnsi="Calibri" w:cs=""/>
                <w:kern w:val="0"/>
                <w:sz w:val="22"/>
                <w:szCs w:val="22"/>
                <w:lang w:val="pl-PL" w:eastAsia="en-US" w:bidi="ar-SA"/>
              </w:rPr>
            </w:pPr>
            <w:r>
              <w:rPr>
                <w:rFonts w:cs=""/>
                <w:kern w:val="0"/>
                <w:sz w:val="22"/>
                <w:szCs w:val="22"/>
                <w:lang w:val="pl-PL" w:eastAsia="en-US" w:bidi="ar-SA"/>
              </w:rPr>
              <w:t>Zadanie realizowane co roku, planowana jest kontynuacja ww. działań.</w:t>
            </w:r>
          </w:p>
          <w:p>
            <w:pPr>
              <w:pStyle w:val="Normal"/>
              <w:widowControl/>
              <w:spacing w:lineRule="auto" w:line="240" w:before="0" w:after="160"/>
              <w:jc w:val="left"/>
              <w:rPr>
                <w:rFonts w:cs="Calibri" w:cstheme="minorHAnsi"/>
              </w:rPr>
            </w:pPr>
            <w:r>
              <w:rPr>
                <w:rFonts w:cs=""/>
                <w:kern w:val="0"/>
                <w:sz w:val="22"/>
                <w:szCs w:val="22"/>
                <w:lang w:val="pl-PL" w:eastAsia="en-US" w:bidi="ar-SA"/>
              </w:rPr>
              <w:t>Realizacja: Gmina Lubanie</w:t>
            </w:r>
          </w:p>
        </w:tc>
      </w:tr>
    </w:tbl>
    <w:p>
      <w:pPr>
        <w:pStyle w:val="TytuMAPiTABEL"/>
        <w:rPr/>
      </w:pPr>
      <w:r>
        <w:rPr/>
      </w:r>
    </w:p>
    <w:p>
      <w:pPr>
        <w:pStyle w:val="TytuMAPiTABEL"/>
        <w:rPr/>
      </w:pPr>
      <w:r>
        <w:rPr/>
        <w:t>Tabela 23. Wykazanie zgodności planowanej interwencji z celami i priorytetami określonymi w Programie „Dostępna przestrzeń publiczna” PFRON</w:t>
      </w:r>
    </w:p>
    <w:p>
      <w:pPr>
        <w:pStyle w:val="TytuMAPiTABEL"/>
        <w:rPr>
          <w:color w:val="FF0000"/>
        </w:rPr>
      </w:pPr>
      <w:r>
        <w:rPr>
          <w:color w:val="FF0000"/>
        </w:rPr>
      </w:r>
    </w:p>
    <w:tbl>
      <w:tblPr>
        <w:tblStyle w:val="Tabela-Siatka"/>
        <w:tblW w:w="93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63"/>
        <w:gridCol w:w="5387"/>
      </w:tblGrid>
      <w:tr>
        <w:trPr/>
        <w:tc>
          <w:tcPr>
            <w:tcW w:w="3963" w:type="dxa"/>
            <w:tcBorders/>
            <w:shd w:color="auto" w:fill="76B4F3" w:val="clear"/>
            <w:vAlign w:val="center"/>
          </w:tcPr>
          <w:p>
            <w:pPr>
              <w:pStyle w:val="TytuMAPiTABEL"/>
              <w:widowControl/>
              <w:spacing w:before="60" w:after="60"/>
              <w:jc w:val="center"/>
              <w:rPr>
                <w:sz w:val="22"/>
                <w:szCs w:val="22"/>
              </w:rPr>
            </w:pPr>
            <w:r>
              <w:rPr>
                <w:kern w:val="0"/>
                <w:sz w:val="22"/>
                <w:szCs w:val="22"/>
                <w:lang w:val="pl-PL" w:eastAsia="en-US" w:bidi="ar-SA"/>
              </w:rPr>
            </w:r>
          </w:p>
          <w:p>
            <w:pPr>
              <w:pStyle w:val="TytuMAPiTABEL"/>
              <w:widowControl/>
              <w:jc w:val="center"/>
              <w:rPr>
                <w:sz w:val="22"/>
                <w:szCs w:val="22"/>
              </w:rPr>
            </w:pPr>
            <w:r>
              <w:rPr>
                <w:kern w:val="0"/>
                <w:sz w:val="22"/>
                <w:szCs w:val="22"/>
                <w:lang w:val="pl-PL" w:eastAsia="en-US" w:bidi="ar-SA"/>
              </w:rPr>
              <w:t>Cel Programu</w:t>
            </w:r>
          </w:p>
          <w:p>
            <w:pPr>
              <w:pStyle w:val="TytuMAPiTABEL"/>
              <w:widowControl/>
              <w:spacing w:before="60" w:after="60"/>
              <w:jc w:val="center"/>
              <w:rPr>
                <w:color w:val="FF0000"/>
                <w:sz w:val="22"/>
                <w:szCs w:val="22"/>
              </w:rPr>
            </w:pPr>
            <w:r>
              <w:rPr>
                <w:color w:val="FF0000"/>
                <w:kern w:val="0"/>
                <w:sz w:val="22"/>
                <w:szCs w:val="22"/>
                <w:lang w:val="pl-PL" w:eastAsia="en-US" w:bidi="ar-SA"/>
              </w:rPr>
            </w:r>
          </w:p>
        </w:tc>
        <w:tc>
          <w:tcPr>
            <w:tcW w:w="5387" w:type="dxa"/>
            <w:tcBorders/>
            <w:shd w:color="auto" w:fill="76B4F3" w:val="clear"/>
            <w:vAlign w:val="center"/>
          </w:tcPr>
          <w:p>
            <w:pPr>
              <w:pStyle w:val="TytuMAPiTABEL"/>
              <w:widowControl/>
              <w:spacing w:before="60" w:after="60"/>
              <w:jc w:val="center"/>
              <w:rPr>
                <w:color w:val="FF0000"/>
                <w:sz w:val="22"/>
                <w:szCs w:val="22"/>
              </w:rPr>
            </w:pPr>
            <w:r>
              <w:rPr>
                <w:kern w:val="0"/>
                <w:sz w:val="22"/>
                <w:szCs w:val="22"/>
                <w:lang w:val="pl-PL" w:eastAsia="en-US" w:bidi="ar-SA"/>
              </w:rPr>
              <w:t>Nazwy projektów zgodnych z zakresem wsparcia</w:t>
            </w:r>
          </w:p>
        </w:tc>
      </w:tr>
      <w:tr>
        <w:trPr/>
        <w:tc>
          <w:tcPr>
            <w:tcW w:w="3963" w:type="dxa"/>
            <w:tcBorders/>
          </w:tcPr>
          <w:p>
            <w:pPr>
              <w:pStyle w:val="TytuMAPiTABEL"/>
              <w:widowControl/>
              <w:spacing w:before="0" w:after="0"/>
              <w:jc w:val="left"/>
              <w:rPr>
                <w:b w:val="false"/>
                <w:sz w:val="22"/>
                <w:szCs w:val="22"/>
              </w:rPr>
            </w:pPr>
            <w:r>
              <w:rPr>
                <w:bCs/>
                <w:kern w:val="0"/>
                <w:sz w:val="22"/>
                <w:szCs w:val="22"/>
                <w:lang w:val="pl-PL" w:eastAsia="en-US" w:bidi="ar-SA"/>
              </w:rPr>
              <w:t>Cel Programu</w:t>
            </w:r>
            <w:r>
              <w:rPr>
                <w:b w:val="false"/>
                <w:kern w:val="0"/>
                <w:sz w:val="22"/>
                <w:szCs w:val="22"/>
                <w:lang w:val="pl-PL" w:eastAsia="en-US" w:bidi="ar-SA"/>
              </w:rPr>
              <w:t xml:space="preserve"> </w:t>
            </w:r>
          </w:p>
          <w:p>
            <w:pPr>
              <w:pStyle w:val="TytuMAPiTABEL"/>
              <w:widowControl/>
              <w:spacing w:before="60" w:after="60"/>
              <w:jc w:val="left"/>
              <w:rPr>
                <w:b w:val="false"/>
                <w:bCs/>
                <w:sz w:val="22"/>
                <w:szCs w:val="22"/>
              </w:rPr>
            </w:pPr>
            <w:r>
              <w:rPr>
                <w:b w:val="false"/>
                <w:bCs/>
                <w:kern w:val="0"/>
                <w:sz w:val="22"/>
                <w:szCs w:val="22"/>
                <w:lang w:val="pl-PL" w:eastAsia="en-US" w:bidi="ar-SA"/>
              </w:rPr>
              <w:t xml:space="preserve">Zapewnienie osobom z niepełnosprawnościami dostępu </w:t>
              <w:br/>
              <w:t>do przestrzeni publicznej, informacji</w:t>
              <w:br/>
              <w:t xml:space="preserve"> i komunikacji, a także technologii, urządzeń oraz usług powszechnie dostępnych lub powszechnie zapewnianych, na zasadzie równości </w:t>
              <w:br/>
              <w:t>z innymi osobami.</w:t>
            </w:r>
          </w:p>
        </w:tc>
        <w:tc>
          <w:tcPr>
            <w:tcW w:w="5387" w:type="dxa"/>
            <w:tcBorders/>
          </w:tcPr>
          <w:p>
            <w:pPr>
              <w:pStyle w:val="Normal"/>
              <w:widowControl/>
              <w:spacing w:before="0" w:after="0"/>
              <w:jc w:val="left"/>
              <w:rPr>
                <w:rFonts w:cs="Calibri" w:cstheme="minorHAnsi"/>
                <w:b/>
                <w:bCs/>
              </w:rPr>
            </w:pPr>
            <w:r>
              <w:rPr>
                <w:rFonts w:cs="Calibri" w:cstheme="minorHAnsi"/>
                <w:b/>
                <w:bCs/>
                <w:kern w:val="0"/>
                <w:sz w:val="22"/>
                <w:szCs w:val="22"/>
                <w:lang w:val="pl-PL" w:eastAsia="en-US" w:bidi="ar-SA"/>
              </w:rPr>
              <w:t>„</w:t>
            </w:r>
            <w:r>
              <w:rPr>
                <w:rFonts w:cs="Calibri" w:cstheme="minorHAnsi"/>
                <w:b/>
                <w:bCs/>
                <w:kern w:val="0"/>
                <w:sz w:val="22"/>
                <w:szCs w:val="22"/>
                <w:lang w:val="pl-PL" w:eastAsia="en-US" w:bidi="ar-SA"/>
              </w:rPr>
              <w:t>Dostępna przestrzeń  publiczna”</w:t>
            </w:r>
          </w:p>
          <w:p>
            <w:pPr>
              <w:pStyle w:val="Normal"/>
              <w:widowControl/>
              <w:spacing w:before="0" w:after="0"/>
              <w:jc w:val="left"/>
              <w:rPr>
                <w:rFonts w:cs="Calibri" w:cstheme="minorHAnsi"/>
              </w:rPr>
            </w:pPr>
            <w:r>
              <w:rPr>
                <w:rFonts w:cs="Calibri" w:cstheme="minorHAnsi"/>
                <w:kern w:val="0"/>
                <w:sz w:val="22"/>
                <w:szCs w:val="22"/>
                <w:lang w:val="pl-PL" w:eastAsia="en-US" w:bidi="ar-SA"/>
              </w:rPr>
              <w:t xml:space="preserve">Zadanie będzie polegało na stworzeniu infrastruktury społecznej wokół Dziennego Domu Kultury </w:t>
            </w:r>
          </w:p>
          <w:p>
            <w:pPr>
              <w:pStyle w:val="Normal"/>
              <w:widowControl/>
              <w:spacing w:before="0" w:after="0"/>
              <w:jc w:val="left"/>
              <w:rPr>
                <w:rFonts w:cs="Calibri" w:cstheme="minorHAnsi"/>
              </w:rPr>
            </w:pPr>
            <w:r>
              <w:rPr>
                <w:rFonts w:cs="Calibri" w:cstheme="minorHAnsi"/>
                <w:kern w:val="0"/>
                <w:sz w:val="22"/>
                <w:szCs w:val="22"/>
                <w:lang w:val="pl-PL" w:eastAsia="en-US" w:bidi="ar-SA"/>
              </w:rPr>
            </w:r>
          </w:p>
          <w:p>
            <w:pPr>
              <w:pStyle w:val="Normal"/>
              <w:widowControl/>
              <w:spacing w:before="0" w:after="0"/>
              <w:jc w:val="left"/>
              <w:rPr>
                <w:rFonts w:cs="Calibri" w:cstheme="minorHAnsi"/>
              </w:rPr>
            </w:pPr>
            <w:r>
              <w:rPr>
                <w:rFonts w:cs="Calibri" w:cstheme="minorHAnsi"/>
                <w:kern w:val="0"/>
                <w:sz w:val="22"/>
                <w:szCs w:val="22"/>
                <w:lang w:val="pl-PL" w:eastAsia="en-US" w:bidi="ar-SA"/>
              </w:rPr>
              <w:t>Realizacja: Gmina Lubanie</w:t>
            </w:r>
          </w:p>
        </w:tc>
      </w:tr>
    </w:tbl>
    <w:p>
      <w:pPr>
        <w:pStyle w:val="TytuMAPiTABEL"/>
        <w:rPr>
          <w:color w:val="FF0000"/>
        </w:rPr>
      </w:pPr>
      <w:r>
        <w:rPr>
          <w:color w:val="FF0000"/>
        </w:rPr>
      </w:r>
    </w:p>
    <w:p>
      <w:pPr>
        <w:pStyle w:val="TytuMAPiTABEL"/>
        <w:rPr/>
      </w:pPr>
      <w:r>
        <w:rPr/>
      </w:r>
    </w:p>
    <w:p>
      <w:pPr>
        <w:pStyle w:val="TytuMAPiTABEL"/>
        <w:rPr/>
      </w:pPr>
      <w:r>
        <w:rPr/>
        <w:t>Tabela 24. Wykazanie zgodności planowanej interwencji z celami i priorytetami określonymi w programie Rządowego Funduszu Rozwoju Mieszkalnictwa</w:t>
      </w:r>
    </w:p>
    <w:p>
      <w:pPr>
        <w:pStyle w:val="TytuMAPiTABEL"/>
        <w:rPr>
          <w:color w:val="FF0000"/>
        </w:rPr>
      </w:pPr>
      <w:r>
        <w:rPr>
          <w:color w:val="FF0000"/>
        </w:rPr>
      </w:r>
    </w:p>
    <w:tbl>
      <w:tblPr>
        <w:tblStyle w:val="Tabela-Siatka"/>
        <w:tblW w:w="93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63"/>
        <w:gridCol w:w="5387"/>
      </w:tblGrid>
      <w:tr>
        <w:trPr/>
        <w:tc>
          <w:tcPr>
            <w:tcW w:w="3963" w:type="dxa"/>
            <w:tcBorders/>
            <w:shd w:color="auto" w:fill="76B4F3" w:val="clear"/>
            <w:vAlign w:val="center"/>
          </w:tcPr>
          <w:p>
            <w:pPr>
              <w:pStyle w:val="TytuMAPiTABEL"/>
              <w:widowControl/>
              <w:spacing w:before="60" w:after="60"/>
              <w:jc w:val="center"/>
              <w:rPr>
                <w:sz w:val="22"/>
                <w:szCs w:val="22"/>
              </w:rPr>
            </w:pPr>
            <w:r>
              <w:rPr>
                <w:kern w:val="0"/>
                <w:sz w:val="22"/>
                <w:szCs w:val="22"/>
                <w:lang w:val="pl-PL" w:eastAsia="en-US" w:bidi="ar-SA"/>
              </w:rPr>
            </w:r>
          </w:p>
          <w:p>
            <w:pPr>
              <w:pStyle w:val="TytuMAPiTABEL"/>
              <w:widowControl/>
              <w:jc w:val="center"/>
              <w:rPr>
                <w:sz w:val="22"/>
                <w:szCs w:val="22"/>
              </w:rPr>
            </w:pPr>
            <w:r>
              <w:rPr>
                <w:kern w:val="0"/>
                <w:sz w:val="22"/>
                <w:szCs w:val="22"/>
                <w:lang w:val="pl-PL" w:eastAsia="en-US" w:bidi="ar-SA"/>
              </w:rPr>
              <w:t xml:space="preserve">Cel Programu </w:t>
            </w:r>
          </w:p>
          <w:p>
            <w:pPr>
              <w:pStyle w:val="TytuMAPiTABEL"/>
              <w:widowControl/>
              <w:spacing w:before="60" w:after="60"/>
              <w:jc w:val="center"/>
              <w:rPr>
                <w:color w:val="FF0000"/>
                <w:sz w:val="22"/>
                <w:szCs w:val="22"/>
              </w:rPr>
            </w:pPr>
            <w:r>
              <w:rPr>
                <w:color w:val="FF0000"/>
                <w:kern w:val="0"/>
                <w:sz w:val="22"/>
                <w:szCs w:val="22"/>
                <w:lang w:val="pl-PL" w:eastAsia="en-US" w:bidi="ar-SA"/>
              </w:rPr>
            </w:r>
          </w:p>
        </w:tc>
        <w:tc>
          <w:tcPr>
            <w:tcW w:w="5387" w:type="dxa"/>
            <w:tcBorders/>
            <w:shd w:color="auto" w:fill="76B4F3" w:val="clear"/>
            <w:vAlign w:val="center"/>
          </w:tcPr>
          <w:p>
            <w:pPr>
              <w:pStyle w:val="TytuMAPiTABEL"/>
              <w:widowControl/>
              <w:spacing w:before="60" w:after="60"/>
              <w:jc w:val="center"/>
              <w:rPr>
                <w:color w:val="FF0000"/>
                <w:sz w:val="22"/>
                <w:szCs w:val="22"/>
              </w:rPr>
            </w:pPr>
            <w:r>
              <w:rPr>
                <w:kern w:val="0"/>
                <w:sz w:val="22"/>
                <w:szCs w:val="22"/>
                <w:lang w:val="pl-PL" w:eastAsia="en-US" w:bidi="ar-SA"/>
              </w:rPr>
              <w:t xml:space="preserve">Nazwy projektów zgodnych z zakresem wsparcia </w:t>
            </w:r>
          </w:p>
        </w:tc>
      </w:tr>
      <w:tr>
        <w:trPr/>
        <w:tc>
          <w:tcPr>
            <w:tcW w:w="3963" w:type="dxa"/>
            <w:tcBorders/>
          </w:tcPr>
          <w:p>
            <w:pPr>
              <w:pStyle w:val="TytuMAPiTABEL"/>
              <w:widowControl/>
              <w:spacing w:before="0" w:after="0"/>
              <w:jc w:val="left"/>
              <w:rPr>
                <w:b w:val="false"/>
                <w:sz w:val="22"/>
                <w:szCs w:val="22"/>
              </w:rPr>
            </w:pPr>
            <w:r>
              <w:rPr>
                <w:bCs/>
                <w:kern w:val="0"/>
                <w:sz w:val="22"/>
                <w:szCs w:val="22"/>
                <w:lang w:val="pl-PL" w:eastAsia="en-US" w:bidi="ar-SA"/>
              </w:rPr>
              <w:t>Cel Programu</w:t>
            </w:r>
            <w:r>
              <w:rPr>
                <w:b w:val="false"/>
                <w:kern w:val="0"/>
                <w:sz w:val="22"/>
                <w:szCs w:val="22"/>
                <w:lang w:val="pl-PL" w:eastAsia="en-US" w:bidi="ar-SA"/>
              </w:rPr>
              <w:t xml:space="preserve"> </w:t>
            </w:r>
          </w:p>
          <w:p>
            <w:pPr>
              <w:pStyle w:val="TytuMAPiTABEL"/>
              <w:widowControl/>
              <w:spacing w:before="60" w:after="60"/>
              <w:jc w:val="left"/>
              <w:rPr>
                <w:b w:val="false"/>
                <w:sz w:val="22"/>
                <w:szCs w:val="22"/>
              </w:rPr>
            </w:pPr>
            <w:r>
              <w:rPr>
                <w:b w:val="false"/>
                <w:kern w:val="0"/>
                <w:sz w:val="22"/>
                <w:szCs w:val="22"/>
                <w:lang w:val="pl-PL" w:eastAsia="en-US" w:bidi="ar-SA"/>
              </w:rPr>
              <w:t>Pobudzenie inwestycji mieszkaniowych realizowanych przez Społeczne Inicjatywy Mieszkaniowe (SIM).</w:t>
            </w:r>
          </w:p>
        </w:tc>
        <w:tc>
          <w:tcPr>
            <w:tcW w:w="5387" w:type="dxa"/>
            <w:tcBorders/>
          </w:tcPr>
          <w:p>
            <w:pPr>
              <w:pStyle w:val="Normal"/>
              <w:widowControl/>
              <w:spacing w:lineRule="auto" w:line="240" w:before="0" w:after="0"/>
              <w:jc w:val="left"/>
              <w:rPr>
                <w:rFonts w:cs="Calibri" w:cstheme="minorHAnsi"/>
                <w:b/>
                <w:bCs/>
              </w:rPr>
            </w:pPr>
            <w:r>
              <w:rPr>
                <w:rFonts w:cs="Calibri" w:cstheme="minorHAnsi"/>
                <w:b/>
                <w:bCs/>
                <w:kern w:val="0"/>
                <w:sz w:val="22"/>
                <w:szCs w:val="22"/>
                <w:lang w:val="pl-PL" w:eastAsia="en-US" w:bidi="ar-SA"/>
              </w:rPr>
              <w:t>„</w:t>
            </w:r>
            <w:r>
              <w:rPr>
                <w:rFonts w:cs="Calibri" w:cstheme="minorHAnsi"/>
                <w:b/>
                <w:bCs/>
                <w:kern w:val="0"/>
                <w:sz w:val="22"/>
                <w:szCs w:val="22"/>
                <w:lang w:val="pl-PL" w:eastAsia="en-US" w:bidi="ar-SA"/>
              </w:rPr>
              <w:t>Utworzenie Społecznej Inicjatywy Mieszkaniowa”</w:t>
            </w:r>
          </w:p>
          <w:p>
            <w:pPr>
              <w:pStyle w:val="Normal"/>
              <w:widowControl/>
              <w:spacing w:lineRule="auto" w:line="240" w:before="0" w:after="160"/>
              <w:jc w:val="left"/>
              <w:rPr>
                <w:rFonts w:cs="Calibri" w:cstheme="minorHAnsi"/>
              </w:rPr>
            </w:pPr>
            <w:r>
              <w:rPr>
                <w:rFonts w:cs="Calibri" w:cstheme="minorHAnsi"/>
                <w:kern w:val="0"/>
                <w:sz w:val="22"/>
                <w:szCs w:val="22"/>
                <w:lang w:val="pl-PL" w:eastAsia="en-US" w:bidi="ar-SA"/>
              </w:rPr>
              <w:t>W ramach zadania planowana jest budowa bloków mieszkalnych, utworzenie Społecznej Inicjatywy Mieszkaniowej. M</w:t>
            </w:r>
            <w:r>
              <w:rPr>
                <w:rFonts w:eastAsia="Times New Roman" w:cs=""/>
                <w:kern w:val="0"/>
                <w:sz w:val="22"/>
                <w:szCs w:val="22"/>
                <w:lang w:val="pl-PL" w:eastAsia="en-US" w:bidi="ar-SA"/>
              </w:rPr>
              <w:t>ieszkania w blokach przeznaczone będą na wynajem dla "klasy średniej".</w:t>
            </w:r>
          </w:p>
          <w:p>
            <w:pPr>
              <w:pStyle w:val="Normal"/>
              <w:widowControl/>
              <w:spacing w:lineRule="auto" w:line="240" w:before="0" w:after="0"/>
              <w:jc w:val="left"/>
              <w:rPr>
                <w:rFonts w:cs="Calibri" w:cstheme="minorHAnsi"/>
              </w:rPr>
            </w:pPr>
            <w:r>
              <w:rPr>
                <w:rFonts w:cs="Calibri" w:cstheme="minorHAnsi"/>
                <w:kern w:val="0"/>
                <w:sz w:val="22"/>
                <w:szCs w:val="22"/>
                <w:lang w:val="pl-PL" w:eastAsia="en-US" w:bidi="ar-SA"/>
              </w:rPr>
              <w:t>Realizacja: Gmina Lubanie</w:t>
            </w:r>
          </w:p>
          <w:p>
            <w:pPr>
              <w:pStyle w:val="Normal"/>
              <w:widowControl/>
              <w:spacing w:lineRule="auto" w:line="240" w:before="0" w:after="0"/>
              <w:jc w:val="left"/>
              <w:rPr>
                <w:rFonts w:cs="Calibri" w:cstheme="minorHAnsi"/>
              </w:rPr>
            </w:pPr>
            <w:r>
              <w:rPr>
                <w:rFonts w:cs="Calibri" w:cstheme="minorHAnsi"/>
                <w:kern w:val="0"/>
                <w:sz w:val="22"/>
                <w:szCs w:val="22"/>
                <w:lang w:val="pl-PL" w:eastAsia="en-US" w:bidi="ar-SA"/>
              </w:rPr>
            </w:r>
          </w:p>
        </w:tc>
      </w:tr>
    </w:tbl>
    <w:p>
      <w:pPr>
        <w:pStyle w:val="TytuMAPiTABEL"/>
        <w:rPr>
          <w:color w:val="FF0000"/>
        </w:rPr>
      </w:pPr>
      <w:r>
        <w:rPr>
          <w:color w:val="FF0000"/>
        </w:rPr>
      </w:r>
    </w:p>
    <w:p>
      <w:pPr>
        <w:pStyle w:val="TytuMAPiTABEL"/>
        <w:rPr>
          <w:color w:val="FF0000"/>
        </w:rPr>
      </w:pPr>
      <w:r>
        <w:rPr>
          <w:color w:val="FF0000"/>
        </w:rPr>
      </w:r>
    </w:p>
    <w:p>
      <w:pPr>
        <w:pStyle w:val="TytuMAPiTABEL"/>
        <w:rPr>
          <w:color w:val="FF0000"/>
        </w:rPr>
      </w:pPr>
      <w:r>
        <w:rPr>
          <w:color w:val="FF0000"/>
        </w:rPr>
      </w:r>
    </w:p>
    <w:p>
      <w:pPr>
        <w:pStyle w:val="Nagwek1"/>
        <w:numPr>
          <w:ilvl w:val="0"/>
          <w:numId w:val="51"/>
        </w:numPr>
        <w:rPr/>
      </w:pPr>
      <w:bookmarkStart w:id="155" w:name="_Hlk134172093"/>
      <w:bookmarkStart w:id="156" w:name="_Toc143161927"/>
      <w:bookmarkEnd w:id="155"/>
      <w:r>
        <w:rPr/>
        <w:t>Lista projektów podstawowych (wraz z informacją na temat sposobu ich wyboru oraz powiązania z innymi projektami)</w:t>
      </w:r>
      <w:bookmarkEnd w:id="156"/>
    </w:p>
    <w:p>
      <w:pPr>
        <w:pStyle w:val="2poziom"/>
        <w:numPr>
          <w:ilvl w:val="1"/>
          <w:numId w:val="52"/>
        </w:numPr>
        <w:ind w:left="993" w:hanging="574"/>
        <w:rPr/>
      </w:pPr>
      <w:bookmarkStart w:id="157" w:name="_Hlk134172093"/>
      <w:bookmarkStart w:id="158" w:name="_Hlk134097988"/>
      <w:bookmarkStart w:id="159" w:name="_Toc143161928"/>
      <w:bookmarkEnd w:id="157"/>
      <w:bookmarkEnd w:id="158"/>
      <w:r>
        <w:rPr/>
        <w:t>Tryb i zasady naboru projektów</w:t>
      </w:r>
      <w:bookmarkEnd w:id="159"/>
      <w:r>
        <w:rPr/>
        <w:t xml:space="preserve"> </w:t>
      </w:r>
    </w:p>
    <w:p>
      <w:pPr>
        <w:pStyle w:val="Normal"/>
        <w:spacing w:lineRule="auto" w:line="276"/>
        <w:jc w:val="both"/>
        <w:rPr>
          <w:rFonts w:cs="Calibri" w:cstheme="minorHAnsi"/>
        </w:rPr>
      </w:pPr>
      <w:bookmarkStart w:id="160" w:name="_Hlk134097988"/>
      <w:bookmarkStart w:id="161" w:name="_Hlk135211830"/>
      <w:bookmarkEnd w:id="160"/>
      <w:r>
        <w:rPr>
          <w:rFonts w:cs="Calibri" w:cstheme="minorHAnsi"/>
        </w:rPr>
        <w:t xml:space="preserve">Wybór projektów do realizacji w ramach Polityki Terytorialnej Województwa Kujawsko - Pomorskiego dokonywany był </w:t>
      </w:r>
      <w:r>
        <w:rPr/>
        <w:t xml:space="preserve">przy zachowaniu partnerskiego modelu współpracy. Wybrane zostały </w:t>
      </w:r>
      <w:r>
        <w:rPr>
          <w:rFonts w:cs="Calibri" w:cstheme="minorHAnsi"/>
        </w:rPr>
        <w:t xml:space="preserve">projekty, które w najwyższym stopniu realizują cele Strategii Terytorialnej, które oferują kompleksowe rozwiązanie zdiagnozowanych potrzeb i problemów na terenie MOF Włocławek oraz w znaczący sposób wpłyną </w:t>
        <w:br/>
        <w:t xml:space="preserve">na osiągnięcie założonych celów strategicznych i określonych w ich ramach wskaźników. </w:t>
      </w:r>
    </w:p>
    <w:p>
      <w:pPr>
        <w:pStyle w:val="Normal"/>
        <w:spacing w:lineRule="auto" w:line="276"/>
        <w:jc w:val="both"/>
        <w:rPr>
          <w:rFonts w:cs="Calibri" w:cstheme="minorHAnsi"/>
        </w:rPr>
      </w:pPr>
      <w:r>
        <w:rPr>
          <w:rFonts w:cs="Calibri" w:cstheme="minorHAnsi"/>
        </w:rPr>
        <w:t>Od października 2021r. odbywały się cyklicznie spotkania stacjonarne oraz on-line przedstawicieli samorządów MOF Włocławek, na których rozmawiano o problemowych obszarach MOF Włocławek oraz potrzebach poszczególnych gmin. Został powołany nieformalny Zespół MOF, składający</w:t>
        <w:br/>
        <w:t xml:space="preserve"> się z burmistrzów i wójtów z obszaru MOF oraz Prezydenta Miasta Włocławek i Starosty Włocławskiego. Na spotkaniach ustalono tryb pracy: rozpoznanie obszarów tematycznych, potrzeb oraz identyfikacja projektów rekomendowanych do dofinansowania. W trakcie ww. spotkań wypracowano system wyboru projektów opierający się o obiektywny zestaw kryteriów, który umożliwił stworzenie listy projektów podstawowych przypisanych poszczególnym celom tematycznym. </w:t>
      </w:r>
    </w:p>
    <w:p>
      <w:pPr>
        <w:pStyle w:val="Normal"/>
        <w:spacing w:lineRule="auto" w:line="276" w:before="0" w:after="0"/>
        <w:jc w:val="both"/>
        <w:rPr>
          <w:rStyle w:val="Markedcontent"/>
          <w:rFonts w:cs="Calibri" w:cstheme="minorHAnsi"/>
        </w:rPr>
      </w:pPr>
      <w:r>
        <w:rPr>
          <w:rStyle w:val="Markedcontent"/>
          <w:rFonts w:cs="Calibri" w:cstheme="minorHAnsi"/>
        </w:rPr>
        <w:t>Na różnych etapach wyboru propozycji projektowych, poza preferencjami specyficznymi dla danych obszarów wsparcia, brane były również pod uwagę preferencje ogólne, tj.:</w:t>
      </w:r>
    </w:p>
    <w:p>
      <w:pPr>
        <w:pStyle w:val="ListParagraph"/>
        <w:numPr>
          <w:ilvl w:val="0"/>
          <w:numId w:val="22"/>
        </w:numPr>
        <w:spacing w:lineRule="auto" w:line="276" w:before="0" w:after="0"/>
        <w:contextualSpacing/>
        <w:jc w:val="left"/>
        <w:rPr>
          <w:rFonts w:cs="Calibri" w:cstheme="minorHAnsi"/>
        </w:rPr>
      </w:pPr>
      <w:r>
        <w:rPr>
          <w:rFonts w:cs="Calibri" w:cstheme="minorHAnsi"/>
        </w:rPr>
        <w:t xml:space="preserve">projekt realizuje cele główne i operacyjne Strategii Przyspieszenia 2030+, </w:t>
      </w:r>
    </w:p>
    <w:p>
      <w:pPr>
        <w:pStyle w:val="ListParagraph"/>
        <w:numPr>
          <w:ilvl w:val="0"/>
          <w:numId w:val="22"/>
        </w:numPr>
        <w:spacing w:lineRule="auto" w:line="276" w:before="0" w:after="0"/>
        <w:contextualSpacing/>
        <w:jc w:val="left"/>
        <w:rPr>
          <w:rFonts w:cs="Calibri" w:cstheme="minorHAnsi"/>
        </w:rPr>
      </w:pPr>
      <w:r>
        <w:rPr>
          <w:rFonts w:cs="Calibri" w:cstheme="minorHAnsi"/>
        </w:rPr>
        <w:t xml:space="preserve">projekt wynika z diagnozy Strategii ZIT, </w:t>
      </w:r>
    </w:p>
    <w:p>
      <w:pPr>
        <w:pStyle w:val="ListParagraph"/>
        <w:numPr>
          <w:ilvl w:val="0"/>
          <w:numId w:val="22"/>
        </w:numPr>
        <w:spacing w:lineRule="auto" w:line="276" w:before="0" w:after="0"/>
        <w:contextualSpacing/>
        <w:jc w:val="left"/>
        <w:rPr>
          <w:rFonts w:cs="Calibri" w:cstheme="minorHAnsi"/>
        </w:rPr>
      </w:pPr>
      <w:r>
        <w:rPr>
          <w:rFonts w:cs="Calibri" w:cstheme="minorHAnsi"/>
        </w:rPr>
        <w:t xml:space="preserve">projekt charakteryzuje się istotnym znaczeniem dla rozwoju MOF Włocławek w aspekcie społecznym, gospodarczym, środowiskowym, </w:t>
      </w:r>
    </w:p>
    <w:p>
      <w:pPr>
        <w:pStyle w:val="ListParagraph"/>
        <w:numPr>
          <w:ilvl w:val="0"/>
          <w:numId w:val="22"/>
        </w:numPr>
        <w:spacing w:lineRule="auto" w:line="276" w:before="0" w:after="0"/>
        <w:contextualSpacing/>
        <w:jc w:val="left"/>
        <w:rPr>
          <w:rFonts w:cs="Calibri" w:cstheme="minorHAnsi"/>
        </w:rPr>
      </w:pPr>
      <w:r>
        <w:rPr>
          <w:rFonts w:cs="Calibri" w:cstheme="minorHAnsi"/>
        </w:rPr>
        <w:t xml:space="preserve">projekt jest projektem zintegrowanym, </w:t>
      </w:r>
    </w:p>
    <w:p>
      <w:pPr>
        <w:pStyle w:val="ListParagraph"/>
        <w:numPr>
          <w:ilvl w:val="0"/>
          <w:numId w:val="22"/>
        </w:numPr>
        <w:spacing w:lineRule="auto" w:line="276" w:before="0" w:after="0"/>
        <w:contextualSpacing/>
        <w:jc w:val="left"/>
        <w:rPr>
          <w:rFonts w:cs="Calibri" w:cstheme="minorHAnsi"/>
        </w:rPr>
      </w:pPr>
      <w:r>
        <w:rPr>
          <w:rFonts w:cs="Calibri" w:cstheme="minorHAnsi"/>
        </w:rPr>
        <w:t xml:space="preserve">projekt charakteryzuje gotowość techniczna do realizacji, gotowość o aplikowania o środki, </w:t>
      </w:r>
    </w:p>
    <w:p>
      <w:pPr>
        <w:pStyle w:val="ListParagraph"/>
        <w:numPr>
          <w:ilvl w:val="0"/>
          <w:numId w:val="22"/>
        </w:numPr>
        <w:spacing w:lineRule="auto" w:line="276" w:before="0" w:after="0"/>
        <w:contextualSpacing/>
        <w:jc w:val="left"/>
        <w:rPr>
          <w:rFonts w:cs="Calibri" w:cstheme="minorHAnsi"/>
        </w:rPr>
      </w:pPr>
      <w:r>
        <w:rPr>
          <w:rFonts w:cs="Calibri" w:cstheme="minorHAnsi"/>
        </w:rPr>
        <w:t xml:space="preserve">projekt oddziałuje na jak najszersze grono odbiorców, </w:t>
      </w:r>
    </w:p>
    <w:p>
      <w:pPr>
        <w:pStyle w:val="ListParagraph"/>
        <w:numPr>
          <w:ilvl w:val="0"/>
          <w:numId w:val="22"/>
        </w:numPr>
        <w:spacing w:lineRule="auto" w:line="276" w:before="0" w:after="0"/>
        <w:contextualSpacing/>
        <w:jc w:val="left"/>
        <w:rPr>
          <w:rFonts w:cs="Calibri" w:cstheme="minorHAnsi"/>
        </w:rPr>
      </w:pPr>
      <w:r>
        <w:rPr>
          <w:rFonts w:cs="Calibri" w:cstheme="minorHAnsi"/>
        </w:rPr>
        <w:t>projekt spełnia zasady DNSH,</w:t>
      </w:r>
    </w:p>
    <w:p>
      <w:pPr>
        <w:pStyle w:val="ListParagraph"/>
        <w:numPr>
          <w:ilvl w:val="0"/>
          <w:numId w:val="22"/>
        </w:numPr>
        <w:spacing w:lineRule="auto" w:line="276" w:before="0" w:after="0"/>
        <w:contextualSpacing/>
        <w:jc w:val="left"/>
        <w:rPr>
          <w:rStyle w:val="Markedcontent"/>
          <w:rFonts w:cs="Calibri" w:cstheme="minorHAnsi"/>
        </w:rPr>
      </w:pPr>
      <w:r>
        <w:rPr>
          <w:rStyle w:val="Markedcontent"/>
          <w:rFonts w:cs="Calibri" w:cstheme="minorHAnsi"/>
        </w:rPr>
        <w:t>zgodności z podstawowymi zasadami realizacji ZIT,</w:t>
      </w:r>
    </w:p>
    <w:p>
      <w:pPr>
        <w:pStyle w:val="ListParagraph"/>
        <w:numPr>
          <w:ilvl w:val="0"/>
          <w:numId w:val="22"/>
        </w:numPr>
        <w:spacing w:lineRule="auto" w:line="276" w:before="0" w:after="0"/>
        <w:contextualSpacing/>
        <w:jc w:val="left"/>
        <w:rPr>
          <w:rStyle w:val="Markedcontent"/>
          <w:rFonts w:cs="Calibri" w:cstheme="minorHAnsi"/>
        </w:rPr>
      </w:pPr>
      <w:r>
        <w:rPr>
          <w:rStyle w:val="Markedcontent"/>
          <w:rFonts w:cs="Calibri" w:cstheme="minorHAnsi"/>
        </w:rPr>
        <w:t xml:space="preserve">zgodności z wyznaczonymi celami tematycznymi i typami wsparcia, </w:t>
      </w:r>
      <w:r>
        <w:rPr>
          <w:rFonts w:cs="Calibri" w:cstheme="minorHAnsi"/>
        </w:rPr>
        <w:br/>
      </w:r>
    </w:p>
    <w:p>
      <w:pPr>
        <w:pStyle w:val="Normal"/>
        <w:spacing w:lineRule="auto" w:line="276" w:before="0" w:after="0"/>
        <w:jc w:val="both"/>
        <w:rPr/>
      </w:pPr>
      <w:r>
        <w:rPr>
          <w:rFonts w:cs="Calibri" w:cstheme="minorHAnsi"/>
        </w:rPr>
        <w:t>Zgodnie z powyższym, ostateczna weryfikacja propozycji projektowych nastąpiła w oparciu</w:t>
        <w:br/>
        <w:t xml:space="preserve"> o </w:t>
      </w:r>
      <w:r>
        <w:rPr/>
        <w:t xml:space="preserve">preferencje wyborów projektów wskazanych w dokumencie Polityka Terytorialna Województwa Kujawsko – Pomorskiego. </w:t>
      </w:r>
    </w:p>
    <w:p>
      <w:pPr>
        <w:pStyle w:val="Normal"/>
        <w:spacing w:lineRule="auto" w:line="276" w:before="0" w:after="0"/>
        <w:jc w:val="both"/>
        <w:rPr>
          <w:rStyle w:val="Markedcontent"/>
          <w:rFonts w:cs="Calibri" w:cstheme="minorHAnsi"/>
        </w:rPr>
      </w:pPr>
      <w:r>
        <w:rPr>
          <w:rStyle w:val="Markedcontent"/>
          <w:rFonts w:cs="Calibri" w:cstheme="minorHAnsi"/>
        </w:rPr>
        <w:t>Każdy z partnerów tworzących MOF Włocławek dokonał identyfikacji propozycji swoich projektów, które następnie</w:t>
      </w:r>
      <w:r>
        <w:rPr>
          <w:rFonts w:cs="Calibri" w:cstheme="minorHAnsi"/>
        </w:rPr>
        <w:t xml:space="preserve"> </w:t>
      </w:r>
      <w:r>
        <w:rPr>
          <w:rStyle w:val="Markedcontent"/>
          <w:rFonts w:cs="Calibri" w:cstheme="minorHAnsi"/>
        </w:rPr>
        <w:t>podlegały wyżej wymienionej ocenie oraz procesowi negocjacji wewnętrznych</w:t>
      </w:r>
      <w:r>
        <w:rPr>
          <w:rFonts w:cs="Calibri" w:cstheme="minorHAnsi"/>
        </w:rPr>
        <w:t xml:space="preserve"> </w:t>
      </w:r>
      <w:r>
        <w:rPr>
          <w:rStyle w:val="Markedcontent"/>
          <w:rFonts w:cs="Calibri" w:cstheme="minorHAnsi"/>
        </w:rPr>
        <w:t xml:space="preserve">(podczas spotkań </w:t>
      </w:r>
      <w:r>
        <w:rPr>
          <w:rFonts w:cs="Calibri" w:cstheme="minorHAnsi"/>
        </w:rPr>
        <w:t xml:space="preserve">przedstawicieli samorządów MOF Włocławek), a następnie </w:t>
      </w:r>
      <w:r>
        <w:rPr>
          <w:rStyle w:val="Markedcontent"/>
          <w:rFonts w:cs="Calibri" w:cstheme="minorHAnsi"/>
        </w:rPr>
        <w:t xml:space="preserve"> zostały przekazane Instytucji Zarządzającej w formie wymaganych fiszek projektowych. W drodze wieloetapowych</w:t>
      </w:r>
      <w:r>
        <w:rPr>
          <w:rFonts w:cs="Calibri" w:cstheme="minorHAnsi"/>
        </w:rPr>
        <w:t xml:space="preserve"> </w:t>
      </w:r>
      <w:r>
        <w:rPr>
          <w:rStyle w:val="Markedcontent"/>
          <w:rFonts w:cs="Calibri" w:cstheme="minorHAnsi"/>
        </w:rPr>
        <w:t xml:space="preserve">negocjacji i uzgodnień, a także po określeniu przez IZ </w:t>
      </w:r>
      <w:r>
        <w:rPr>
          <w:rFonts w:cs="Calibri" w:cstheme="minorHAnsi"/>
          <w:color w:val="000000" w:themeColor="text1"/>
        </w:rPr>
        <w:t>założeń i możliwości finansowania ze środków Programu Fundusze Europejskie dla Kujaw i Pomorza 2021-2023 w ramach Polityki Terytorialnej, k</w:t>
      </w:r>
      <w:r>
        <w:rPr>
          <w:rFonts w:cs="Calibri" w:cstheme="minorHAnsi"/>
        </w:rPr>
        <w:t>ońcowym efektem prac nad wyborem projektów, które w największym stopniu służyć będą zaspokojeniu zidentyfikowanych potrzeb rozwojowych i wykorzystaniu potencjału obszaru MOF Włocławek, było wypracowanie listy projektów, która została załączona do niniejszej Strategii.</w:t>
      </w:r>
    </w:p>
    <w:p>
      <w:pPr>
        <w:pStyle w:val="Normal"/>
        <w:rPr/>
      </w:pPr>
      <w:r>
        <w:rPr/>
        <w:t>Proces naboru projektów przebiegał trójetapowo:</w:t>
      </w:r>
    </w:p>
    <w:p>
      <w:pPr>
        <w:pStyle w:val="Normal"/>
        <w:rPr>
          <w:u w:val="single"/>
        </w:rPr>
      </w:pPr>
      <w:r>
        <w:rPr>
          <w:u w:val="single"/>
        </w:rPr>
        <w:t>I etap – nabór propozycji projektowych z uwzględnieniem założeń dla polityki spójności na lata 2021-2027</w:t>
      </w:r>
    </w:p>
    <w:p>
      <w:pPr>
        <w:pStyle w:val="Normal"/>
        <w:spacing w:lineRule="auto" w:line="276" w:before="0" w:after="120"/>
        <w:jc w:val="both"/>
        <w:rPr>
          <w:strike/>
        </w:rPr>
      </w:pPr>
      <w:r>
        <w:rPr>
          <w:rFonts w:cs="Calibri" w:cstheme="minorHAnsi"/>
          <w:color w:val="000000" w:themeColor="text1"/>
        </w:rPr>
        <w:t xml:space="preserve">W momencie ukazania się (październik 2021r.) pierwszej wersji projektu dokumentu FEdKP 2021-2027, </w:t>
      </w:r>
      <w:r>
        <w:rPr>
          <w:rFonts w:cs="Calibri" w:cstheme="minorHAnsi"/>
          <w:color w:val="000000" w:themeColor="text1"/>
          <w:highlight w:val="yellow"/>
        </w:rPr>
        <w:t xml:space="preserve"> </w:t>
      </w:r>
      <w:r>
        <w:rPr>
          <w:rFonts w:cs="Calibri" w:cstheme="minorHAnsi"/>
          <w:color w:val="000000" w:themeColor="text1"/>
        </w:rPr>
        <w:t>Samorządy MOF Włocławka przystąpiły do prac w zakresie rozpoznawania obszarów tematycznych znając potrzeby i zdiagnozowane problemy na terenach swoich gmin. Na tej podstawie samorządy przystąpiły do identyfikacji projektów pod kątem zgodności z założeniami dokumentu. Pierwszy nabór projektów odbył się w listopadzie 2021r. w ramach wewnętrznego zgłaszania propozycji projektowych przez samorządy MOF Włocławek. Propozycje projektów zgłaszane były na formularzu</w:t>
      </w:r>
      <w:r>
        <w:rPr>
          <w:rFonts w:cs="Calibri" w:cstheme="minorHAnsi"/>
          <w:bCs/>
        </w:rPr>
        <w:t xml:space="preserve"> zgłoszeniowym dla propozycji projektu, przygotowanym przez Urząd Marszałkowski w Toruniu. </w:t>
      </w:r>
      <w:r>
        <w:rPr>
          <w:rFonts w:cs="Calibri" w:cstheme="minorHAnsi"/>
          <w:color w:val="000000" w:themeColor="text1"/>
        </w:rPr>
        <w:t xml:space="preserve">Na bazie zgłoszonych projektów, podjęto prace w zakresie koordynacji i integracji przedsięwzięć ujętych w formularzach, tworzone były wiązki projektów z tych samych obszarów i poddawane ocenie wg ustalonych kryteriów. Na tej podstawie powstała pierwsza lista proponowanych projektów do realizacji. W trakcie procesu    I etapu naboru organizowane były spotkania przedstawicieli samorządów MOF Włocławek, na których podejmowano dyskusję nad proponowaną listą projektów pod kątem wprowadzenia na nią zintegrowanych projektów odpowiadających w sposób kompleksowy na potrzeby i problemy całego obszaru funkcjonalnego. Wybór projektów odbywał się na zasadach partnerstwa i zgodnie z zasadami identyfikacji projektów do wyboru w trybie niekonkurencyjnym. W odpowiedzi na zaproszenie Zarządu Województwa Kujawsko – Pomorskiego, Miasto Włocławek oraz pozostałe samorządy MOF przekazały 29 propozycji projektów o znaczeniu strategicznym dla MOF Włocławka. </w:t>
      </w:r>
    </w:p>
    <w:p>
      <w:pPr>
        <w:pStyle w:val="Normal"/>
        <w:spacing w:lineRule="auto" w:line="276"/>
        <w:rPr>
          <w:color w:val="000000" w:themeColor="text1"/>
          <w:u w:val="single"/>
        </w:rPr>
      </w:pPr>
      <w:r>
        <w:rPr>
          <w:color w:val="000000" w:themeColor="text1"/>
          <w:u w:val="single"/>
        </w:rPr>
      </w:r>
    </w:p>
    <w:p>
      <w:pPr>
        <w:pStyle w:val="Normal"/>
        <w:spacing w:lineRule="auto" w:line="276"/>
        <w:rPr>
          <w:color w:val="000000" w:themeColor="text1"/>
          <w:u w:val="single"/>
        </w:rPr>
      </w:pPr>
      <w:r>
        <w:rPr>
          <w:color w:val="000000" w:themeColor="text1"/>
          <w:u w:val="single"/>
        </w:rPr>
        <w:t>II etap – przegląd i wybór zgłoszonych propozycji projektowych pod katem założeń i możliwości finansowania ze środków Programu Fundusze Europejskie dla Kujaw i Pomorza 2021-2027</w:t>
      </w:r>
    </w:p>
    <w:p>
      <w:pPr>
        <w:pStyle w:val="Normal"/>
        <w:spacing w:lineRule="auto" w:line="276"/>
        <w:jc w:val="both"/>
        <w:rPr>
          <w:color w:val="000000" w:themeColor="text1"/>
        </w:rPr>
      </w:pPr>
      <w:r>
        <w:rPr>
          <w:color w:val="000000" w:themeColor="text1"/>
        </w:rPr>
        <w:t xml:space="preserve">Kolejne wersje Programu Fundusze Europejskie dla Kujaw i Pomorza 2021-2027 określiły na jakich poziomach prowadzenia polityki terytorialnej mogą być podejmowane działania, które w pełni wykorzystają potencjał i rozwiążą problemy poszczególnych obszarów województwa kujawsko – pomorskiego. Przedstawiciele samorządów MOF Włocławka powzięli informację dotyczącą, </w:t>
        <w:br/>
        <w:t xml:space="preserve">iż realizacja instrumentów ZIT odbywać się będzie w oparciu o proces programowania, którego podstawą będą strategie terytorialne, określające uwarunkowania, specyfikę danego obszaru oraz zawierające listę projektów podstawowych. Ponadto znane również były formy wsparcia </w:t>
        <w:br/>
        <w:t xml:space="preserve">dla poszczególnych obszarów. </w:t>
      </w:r>
    </w:p>
    <w:p>
      <w:pPr>
        <w:pStyle w:val="Normal"/>
        <w:spacing w:lineRule="auto" w:line="276"/>
        <w:jc w:val="both"/>
        <w:rPr>
          <w:color w:val="000000" w:themeColor="text1"/>
        </w:rPr>
      </w:pPr>
      <w:r>
        <w:rPr>
          <w:color w:val="000000" w:themeColor="text1"/>
        </w:rPr>
        <w:t xml:space="preserve">W tym czasie pojawił się projekt dokumentu Polityka Terytorialna Województwa Kujawsko – Pomorskiego, w którym zostały wskazane główne założenia PT, poziomy jej realizacji, obszary wsparcia dla ZIT oraz założenia finansowe – podział alokacji na poszczególne instrumenty terytorialne.   </w:t>
      </w:r>
    </w:p>
    <w:p>
      <w:pPr>
        <w:pStyle w:val="Normal"/>
        <w:spacing w:lineRule="auto" w:line="276"/>
        <w:jc w:val="both"/>
        <w:rPr>
          <w:color w:val="000000" w:themeColor="text1"/>
        </w:rPr>
      </w:pPr>
      <w:r>
        <w:rPr>
          <w:color w:val="000000" w:themeColor="text1"/>
        </w:rPr>
        <w:t>Przedstawiciele samorządów MOF Włocławka, poznając założenia opublikowanych dokumentów, dokonywali aktualizacji swoich propozycji projektowych pod kątem merytorycznym i finansowym.</w:t>
        <w:br/>
        <w:t xml:space="preserve"> Na organizowanych spotkaniach, przedstawiciele MOF Włocławek  przestawili projekty planowane </w:t>
        <w:br/>
        <w:t xml:space="preserve">do realizacji w ramach Polityki Terytorialnej, które były modyfikowane pod kątem finansowym </w:t>
        <w:br/>
        <w:t xml:space="preserve">oraz merytorycznym. Projekty były weryfikowane przez Zespół MOF Włocławek, a ich wybór odbywał się na zasadach partnerstwa i zgodnie z określonymi zasadami i preferencjami określonymi </w:t>
        <w:br/>
        <w:t xml:space="preserve">w dokumencie Polityka Terytorialna. </w:t>
      </w:r>
    </w:p>
    <w:p>
      <w:pPr>
        <w:pStyle w:val="Normal"/>
        <w:spacing w:lineRule="auto" w:line="276"/>
        <w:jc w:val="both"/>
        <w:rPr>
          <w:color w:val="000000" w:themeColor="text1"/>
          <w:u w:val="single"/>
        </w:rPr>
      </w:pPr>
      <w:r>
        <w:rPr>
          <w:color w:val="000000" w:themeColor="text1"/>
          <w:u w:val="single"/>
        </w:rPr>
        <w:t>III etap – wybór projektów do dofinansowania z uwzględnieniem zasad wskazanych w dokumencie Polityka terytorialna, w szczególności oparty o zawarty w nim katalog preferencji</w:t>
      </w:r>
    </w:p>
    <w:p>
      <w:pPr>
        <w:pStyle w:val="Normal"/>
        <w:spacing w:lineRule="auto" w:line="276" w:before="0" w:after="0"/>
        <w:jc w:val="both"/>
        <w:rPr>
          <w:rFonts w:eastAsia="Calibri" w:cs="Calibri" w:cstheme="minorHAnsi"/>
        </w:rPr>
      </w:pPr>
      <w:r>
        <w:rPr>
          <w:rFonts w:eastAsia="Calibri" w:cs="Calibri" w:cstheme="minorHAnsi"/>
        </w:rPr>
        <w:t>Zgodnie z założeniami dokumentu Polityka Terytorialna Województwa Kujawsko – Pomorskiego,</w:t>
        <w:br/>
        <w:t xml:space="preserve">w Strategii Terytorialnej powinny zostać uwzględnione projekty starostw powiatowych. Na podstawie tych założeń Gminy MOF Włocławek przeznaczyły część alokacji przyznanej na realizację projektów </w:t>
        <w:br/>
        <w:t xml:space="preserve">w ramach PT WK-P na rzecz projektów oddziałujących na cały obszar MOF, zaproponowanych przez Powiat Włocławski. </w:t>
      </w:r>
    </w:p>
    <w:p>
      <w:pPr>
        <w:pStyle w:val="Normal"/>
        <w:spacing w:lineRule="auto" w:line="276" w:before="0" w:after="0"/>
        <w:jc w:val="both"/>
        <w:rPr>
          <w:rFonts w:eastAsia="Calibri" w:cs="Calibri" w:cstheme="minorHAnsi"/>
        </w:rPr>
      </w:pPr>
      <w:r>
        <w:rPr>
          <w:rFonts w:eastAsia="Calibri" w:cs="Calibri" w:cstheme="minorHAnsi"/>
        </w:rPr>
        <w:t>W siedzibie Lidera, tj. Miasta Włocławek odbywały się cykliczne spotkania celem uzgodnień w zakresie planowanych przez partnerstwo ZIT MOF Włocławka zadań oraz określenia możliwości</w:t>
        <w:br/>
        <w:t xml:space="preserve"> ich sfinansowania ze środków programu Fundusze Europejskie dla Kujaw i Pomorza na lata 2021-2027 w ramach Polityki Terytorialnej. Rozpoczęły się prace nad ostatecznym kształtem projektów, w trakcie których każdy samorząd MOF Włocławka, ponownie weryfikował swoje propozycje projektowe pod kątem alokacji i przyznanych limitów na poszczególne cele szczegółowe. Propozycje projektowe były również weryfikowane i oceniane pod kątem ustalonych preferencji i priorytetów.</w:t>
      </w:r>
    </w:p>
    <w:p>
      <w:pPr>
        <w:pStyle w:val="Normal"/>
        <w:spacing w:lineRule="auto" w:line="276" w:before="0" w:after="0"/>
        <w:jc w:val="both"/>
        <w:rPr>
          <w:rFonts w:eastAsia="Calibri" w:cs="Calibri" w:cstheme="minorHAnsi"/>
        </w:rPr>
      </w:pPr>
      <w:r>
        <w:rPr>
          <w:rFonts w:eastAsia="Calibri" w:cs="Calibri" w:cstheme="minorHAnsi"/>
        </w:rPr>
        <w:t xml:space="preserve"> </w:t>
      </w:r>
      <w:r>
        <w:rPr>
          <w:rFonts w:eastAsia="Calibri" w:cs="Calibri" w:cstheme="minorHAnsi"/>
        </w:rPr>
        <w:t xml:space="preserve">Po długim procesie negocjacji i wewnętrznych ustaleń między partnerami MOF Włocławka, powstała lista projektów zawierająca spójny zestaw działań służących zrównoważonemu rozwojowi oraz długotrwałej poprawie warunków społecznych, gospodarczych, środowiskowych, klimatycznych Miejskiego Obszaru Funkcjonalnego Włocławka.   </w:t>
      </w:r>
    </w:p>
    <w:p>
      <w:pPr>
        <w:pStyle w:val="Normal"/>
        <w:rPr>
          <w:highlight w:val="yellow"/>
        </w:rPr>
      </w:pPr>
      <w:r>
        <w:rPr>
          <w:highlight w:val="yellow"/>
        </w:rPr>
      </w:r>
    </w:p>
    <w:p>
      <w:pPr>
        <w:pStyle w:val="Normal"/>
        <w:rPr/>
      </w:pPr>
      <w:r>
        <w:rPr/>
      </w:r>
    </w:p>
    <w:p>
      <w:pPr>
        <w:pStyle w:val="Normal"/>
        <w:rPr/>
      </w:pPr>
      <w:r>
        <w:rPr/>
      </w:r>
    </w:p>
    <w:p>
      <w:pPr>
        <w:pStyle w:val="Normal"/>
        <w:rPr/>
      </w:pPr>
      <w:r>
        <w:rPr/>
      </w:r>
    </w:p>
    <w:p>
      <w:pPr>
        <w:pStyle w:val="Normal"/>
        <w:rPr>
          <w:u w:val="single"/>
        </w:rPr>
      </w:pPr>
      <w:r>
        <w:rPr>
          <w:u w:val="single"/>
        </w:rPr>
        <w:t xml:space="preserve">Sposób uczestnictwa partnerów zewnętrznych </w:t>
      </w:r>
    </w:p>
    <w:p>
      <w:pPr>
        <w:pStyle w:val="Normal"/>
        <w:spacing w:lineRule="auto" w:line="276" w:before="0" w:after="0"/>
        <w:jc w:val="both"/>
        <w:rPr/>
      </w:pPr>
      <w:r>
        <w:rPr/>
        <w:t xml:space="preserve">Celem zachowania partnerskiego modelu współpracy przy wyborze projektów do realizacji w ramach PT WK-P, jednostki samorządu terytorialnego tworzące MOF Włocławka podjęły szereg kroków mających na celu włączenie jak najszerszego grona interesariuszy i partnerów w proces opracowywania Strategii zapewniając w tym procesie otwarty udział poprzez: </w:t>
      </w:r>
    </w:p>
    <w:p>
      <w:pPr>
        <w:pStyle w:val="ListParagraph"/>
        <w:numPr>
          <w:ilvl w:val="0"/>
          <w:numId w:val="40"/>
        </w:numPr>
        <w:spacing w:lineRule="auto" w:line="276" w:before="0" w:after="0"/>
        <w:rPr/>
      </w:pPr>
      <w:r>
        <w:rPr/>
        <w:t xml:space="preserve">na terenach Gmin MOF Włocławka powoływane były zespoły, do których zapraszano przedstawicieli społeczności lokalnej reprezentujących różne środowiska społeczne, zawodowe i gospodarcze, </w:t>
      </w:r>
      <w:r>
        <w:rPr>
          <w:rFonts w:cs="Calibri"/>
          <w:sz w:val="24"/>
          <w:szCs w:val="24"/>
          <w14:ligatures w14:val="standardContextual"/>
        </w:rPr>
        <w:t xml:space="preserve">podmioty działające na rzecz ochrony środowiska </w:t>
        <w:br/>
        <w:t>oraz podmioty odpowiedzialne za promowanie włączenia społecznego, praw podstawowych, praw osób niepełnosprawnych, równości płci i niedyskryminacji,</w:t>
      </w:r>
    </w:p>
    <w:p>
      <w:pPr>
        <w:pStyle w:val="ListParagraph"/>
        <w:numPr>
          <w:ilvl w:val="0"/>
          <w:numId w:val="40"/>
        </w:numPr>
        <w:spacing w:lineRule="auto" w:line="276" w:before="0" w:after="0"/>
        <w:rPr/>
      </w:pPr>
      <w:r>
        <w:rPr/>
        <w:t>organizowanie spotkań, warsztatów, na których przedstawiciele różnych grup społecznych zgłaszali uwagi, spostrzeżenia i opinie dotyczące sytuacji danej Gminy,</w:t>
      </w:r>
    </w:p>
    <w:p>
      <w:pPr>
        <w:pStyle w:val="ListParagraph"/>
        <w:numPr>
          <w:ilvl w:val="0"/>
          <w:numId w:val="40"/>
        </w:numPr>
        <w:spacing w:lineRule="auto" w:line="276" w:before="0" w:after="0"/>
        <w:rPr/>
      </w:pPr>
      <w:r>
        <w:rPr/>
        <w:t>celem poznania problemów i potrzeb definiowanych przez mieszkańców, a także oczekiwań społecznych w zakresie funkcjonowania danej Gminy, przeprowadzane zostały badania ankietowe. Ankiety były skierowane do mieszkańców Gmin, uczniów, przedsiębiorców, instytucji rynku pracy, branżowych podmiotów sektora publicznego, instytucje pomocy</w:t>
        <w:br/>
        <w:t xml:space="preserve"> i integracji, instytucje otoczenia biznesu, organizacje pozarządowe, instytucje kultury. Respondenci oceniali poziom życia w kategoriach: przestrzeń i środowisko, warunki życia, gospodarka. Wyniki badań pozwoliły na właściwą identyfikację problemów, barier rozwojowych, potencjałów i potrzeb MOF wśród mieszkańców i podmiotów społeczno-gospodarczych, </w:t>
      </w:r>
    </w:p>
    <w:p>
      <w:pPr>
        <w:pStyle w:val="ListParagraph"/>
        <w:numPr>
          <w:ilvl w:val="0"/>
          <w:numId w:val="40"/>
        </w:numPr>
        <w:spacing w:lineRule="auto" w:line="276" w:before="0" w:after="0"/>
        <w:rPr>
          <w:rFonts w:cs="Calibri" w:cstheme="minorHAnsi"/>
        </w:rPr>
      </w:pPr>
      <w:r>
        <w:rPr/>
        <w:t xml:space="preserve">badania umożliwiły prawidłowe i rzeczywiste formułowanie kierunków działań, jakie należało podjąć w zakresie oceny czynników dotyczących otoczenia lokalnego oraz głównych potrzeb rozwojowych przy formułowaniu ustaleń Strategii. Udział partnerów zewnętrznych pozwolił określić słabe i mocne strony Gminy MOF Włocławka, wyznaczyć wizję rozwoju, zidentyfikować zadania i przedsięwzięcia dla realizacji kierunków działań w Strategii. Wartością dodaną w proces zaangażowania partnerów zewnętrznych było zwiększenie efektywności działań oraz zapewnienie większej przejrzystości w podejmowaniu decyzji przez </w:t>
      </w:r>
      <w:r>
        <w:rPr>
          <w:rFonts w:cs="Calibri" w:cstheme="minorHAnsi"/>
        </w:rPr>
        <w:t xml:space="preserve">przedstawicieli samorządów MOF Włocławka. </w:t>
      </w:r>
    </w:p>
    <w:p>
      <w:pPr>
        <w:pStyle w:val="Normal"/>
        <w:rPr/>
      </w:pPr>
      <w:r>
        <w:rPr/>
      </w:r>
    </w:p>
    <w:p>
      <w:pPr>
        <w:pStyle w:val="Normal"/>
        <w:rPr>
          <w:u w:val="single"/>
        </w:rPr>
      </w:pPr>
      <w:r>
        <w:rPr>
          <w:u w:val="single"/>
        </w:rPr>
        <w:t>Nabór projektów - uzupełniający</w:t>
      </w:r>
    </w:p>
    <w:p>
      <w:pPr>
        <w:pStyle w:val="Normal"/>
        <w:spacing w:lineRule="auto" w:line="276"/>
        <w:jc w:val="both"/>
        <w:rPr/>
      </w:pPr>
      <w:r>
        <w:rPr>
          <w:color w:val="000000" w:themeColor="text1"/>
        </w:rPr>
        <w:t>W celu dodania zadań przyszłych, które nie zostały zamieszczone na liście projektów podstawowych</w:t>
        <w:br/>
        <w:t xml:space="preserve"> i liście projektów rezerwowych, przewiduje się procedurę naboru uzupełniającego. Decyzje o naborze uzupełniającym będzie podejmował Zarząd Stowarzyszenia, w formie stosownej uchwały. Tryb naboru propozycji projektowych będzie odbywał się na takich samych zasadach, co wybór projektów na listę podstawową oraz w </w:t>
      </w:r>
      <w:r>
        <w:rPr>
          <w:rFonts w:cs="Calibri" w:cstheme="minorHAnsi"/>
        </w:rPr>
        <w:t xml:space="preserve">oparciu o </w:t>
      </w:r>
      <w:r>
        <w:rPr/>
        <w:t>preferencje wyborów projektów wskazanych w dokumencie Polityka Terytorialna Województwa Kujawsko – Pomorskiego. Zgłaszane p</w:t>
      </w:r>
      <w:r>
        <w:rPr>
          <w:color w:val="000000" w:themeColor="text1"/>
        </w:rPr>
        <w:t xml:space="preserve">rzedsięwzięcia muszą mieć charakter strategiczny dla rozwoju MOF Włocławek, wpisywać się w cele rozwojowe Strategii Terytorialnej oraz </w:t>
      </w:r>
      <w:r>
        <w:rPr>
          <w:rFonts w:cs="Calibri" w:cstheme="minorHAnsi"/>
          <w:color w:val="000000" w:themeColor="text1"/>
        </w:rPr>
        <w:t>spełniać definicję projektu zintegrowanego</w:t>
      </w:r>
      <w:r>
        <w:rPr>
          <w:color w:val="000000" w:themeColor="text1"/>
        </w:rPr>
        <w:t>. Zgłaszanie projektów odbywać się będzie przez przekazanie do Biura Stowarzyszenia WŁOF fiszek projektowych, celem poddania ocenie formalnej</w:t>
        <w:br/>
        <w:t xml:space="preserve"> i merytorycznej. Lista projektów zostanie przekazana Zarządowi Stowarzyszenia, który podejmie decyzję o przyjęciu sporządzonej listy i następnie przekaże listę Walnemu Zebraniu Członków celem zatwierdzenia. Następnie lista zostanie </w:t>
      </w:r>
      <w:r>
        <w:rPr/>
        <w:t>przedstawiona do IZ FEdKP celem rekomendacji.</w:t>
      </w:r>
      <w:bookmarkEnd w:id="161"/>
    </w:p>
    <w:p>
      <w:pPr>
        <w:pStyle w:val="Normal"/>
        <w:rPr>
          <w:color w:val="00B050"/>
        </w:rPr>
      </w:pPr>
      <w:r>
        <w:rPr>
          <w:color w:val="00B050"/>
        </w:rPr>
      </w:r>
    </w:p>
    <w:p>
      <w:pPr>
        <w:pStyle w:val="2poziom"/>
        <w:numPr>
          <w:ilvl w:val="1"/>
          <w:numId w:val="32"/>
        </w:numPr>
        <w:ind w:left="851" w:hanging="567"/>
        <w:rPr/>
      </w:pPr>
      <w:bookmarkStart w:id="162" w:name="_Toc143161929"/>
      <w:bookmarkStart w:id="163" w:name="_Hlk134098011"/>
      <w:r>
        <w:rPr/>
        <w:t>Uzasadnienie wyboru projektów poprzez wykazanie zgodności projektów z potrzebami rozwojowymi danego obszaru</w:t>
      </w:r>
      <w:bookmarkEnd w:id="162"/>
      <w:bookmarkEnd w:id="163"/>
    </w:p>
    <w:p>
      <w:pPr>
        <w:pStyle w:val="Normal"/>
        <w:spacing w:lineRule="auto" w:line="276"/>
        <w:jc w:val="both"/>
        <w:rPr>
          <w:rFonts w:ascii="Calibri" w:hAnsi="Calibri" w:eastAsia="" w:cs="" w:cstheme="majorBidi" w:eastAsiaTheme="majorEastAsia"/>
          <w:bCs/>
          <w:szCs w:val="20"/>
          <w:lang w:eastAsia="pl-PL"/>
        </w:rPr>
      </w:pPr>
      <w:r>
        <w:rPr>
          <w:rFonts w:eastAsia="" w:cs="" w:cstheme="majorBidi" w:eastAsiaTheme="majorEastAsia"/>
          <w:bCs/>
          <w:szCs w:val="20"/>
          <w:lang w:eastAsia="pl-PL"/>
        </w:rPr>
        <w:t xml:space="preserve">Bardzo duże znaczenie w kontekście możliwych do uzyskania efektów w wyniku realizacji zaplanowanych projektów, posiada stopień wpisania się ich w potrzeby rozwojowe obszaru. </w:t>
        <w:br/>
        <w:t xml:space="preserve">Aby stworzyć dobre warunki dla rozwoju całego obszaru, należałoby ukierunkować interwencję </w:t>
        <w:br/>
        <w:t xml:space="preserve">na najbardziej istotne sfery, w których występuje potencjał do jego osiągnięcia. Poza tym bardzo ważna jest również odpowiedź na diagnozowane na danym obszarze problemy, które mogą z kolei ograniczać możliwość prowadzenia działań w kluczowych sferach (przykładem może być np. mała liczba miejsc </w:t>
        <w:br/>
        <w:t>w placówkach przedszkoli co ogranicza możliwość podniesienia dostępności do usług w sferze wychowania przedszkolnego). Zaplanowane do realizacji projekty na obszarze MOF Włocławka wpisują się w potrzeby rozwojowe w kilku sferach, które przedstawiono w tabeli.</w:t>
      </w:r>
    </w:p>
    <w:p>
      <w:pPr>
        <w:pStyle w:val="Normal"/>
        <w:spacing w:lineRule="auto" w:line="276"/>
        <w:jc w:val="both"/>
        <w:rPr>
          <w:rFonts w:ascii="Calibri" w:hAnsi="Calibri" w:eastAsia="" w:cs="" w:cstheme="majorBidi" w:eastAsiaTheme="majorEastAsia"/>
          <w:bCs/>
          <w:szCs w:val="20"/>
          <w:lang w:eastAsia="pl-PL"/>
        </w:rPr>
      </w:pPr>
      <w:r>
        <w:rPr>
          <w:rFonts w:eastAsia="" w:cs="" w:cstheme="majorBidi" w:eastAsiaTheme="majorEastAsia"/>
          <w:bCs/>
          <w:szCs w:val="20"/>
          <w:lang w:eastAsia="pl-PL"/>
        </w:rPr>
      </w:r>
    </w:p>
    <w:p>
      <w:pPr>
        <w:pStyle w:val="TytuMAPiTABEL"/>
        <w:rPr>
          <w:lang w:eastAsia="pl-PL"/>
        </w:rPr>
      </w:pPr>
      <w:r>
        <w:rPr>
          <w:lang w:eastAsia="pl-PL"/>
        </w:rPr>
        <w:t>Tabela 25. Uzasadnienie wyboru projektów do wsparcia</w:t>
      </w:r>
    </w:p>
    <w:tbl>
      <w:tblPr>
        <w:tblStyle w:val="Tabela-Siatka"/>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84"/>
        <w:gridCol w:w="4842"/>
        <w:gridCol w:w="2544"/>
      </w:tblGrid>
      <w:tr>
        <w:trPr>
          <w:trHeight w:val="600" w:hRule="atLeast"/>
        </w:trPr>
        <w:tc>
          <w:tcPr>
            <w:tcW w:w="1684" w:type="dxa"/>
            <w:tcBorders>
              <w:top w:val="single" w:sz="12" w:space="0" w:color="AAAAAA"/>
              <w:left w:val="single" w:sz="12" w:space="0" w:color="AAAAAA"/>
              <w:bottom w:val="single" w:sz="12" w:space="0" w:color="AAAAAA"/>
              <w:right w:val="single" w:sz="12" w:space="0" w:color="AAAAAA"/>
            </w:tcBorders>
            <w:shd w:color="auto" w:fill="71DAFF" w:val="clear"/>
            <w:vAlign w:val="center"/>
          </w:tcPr>
          <w:p>
            <w:pPr>
              <w:pStyle w:val="Normal"/>
              <w:widowControl/>
              <w:spacing w:before="0" w:after="160"/>
              <w:contextualSpacing/>
              <w:jc w:val="center"/>
              <w:rPr>
                <w:rFonts w:cs="Calibri" w:cstheme="minorHAnsi"/>
                <w:b/>
                <w:bCs/>
                <w:sz w:val="18"/>
                <w:szCs w:val="18"/>
              </w:rPr>
            </w:pPr>
            <w:r>
              <w:rPr>
                <w:rFonts w:cs="Calibri" w:cstheme="minorHAnsi"/>
                <w:b/>
                <w:bCs/>
                <w:kern w:val="0"/>
                <w:sz w:val="18"/>
                <w:szCs w:val="18"/>
                <w:lang w:val="pl-PL" w:eastAsia="en-US" w:bidi="ar-SA"/>
              </w:rPr>
              <w:t>NAZWA SFERY</w:t>
            </w:r>
          </w:p>
        </w:tc>
        <w:tc>
          <w:tcPr>
            <w:tcW w:w="4842" w:type="dxa"/>
            <w:tcBorders>
              <w:top w:val="single" w:sz="12" w:space="0" w:color="AAAAAA"/>
              <w:left w:val="single" w:sz="12" w:space="0" w:color="AAAAAA"/>
              <w:bottom w:val="single" w:sz="12" w:space="0" w:color="AAAAAA"/>
              <w:right w:val="single" w:sz="12" w:space="0" w:color="AAAAAA"/>
            </w:tcBorders>
            <w:shd w:color="auto" w:fill="71DAFF" w:val="clear"/>
            <w:vAlign w:val="center"/>
          </w:tcPr>
          <w:p>
            <w:pPr>
              <w:pStyle w:val="Normal"/>
              <w:widowControl/>
              <w:spacing w:lineRule="auto" w:line="240" w:before="0" w:after="160"/>
              <w:contextualSpacing/>
              <w:jc w:val="center"/>
              <w:rPr>
                <w:rFonts w:cs="Calibri" w:cstheme="minorHAnsi"/>
                <w:b/>
                <w:bCs/>
                <w:sz w:val="18"/>
                <w:szCs w:val="18"/>
              </w:rPr>
            </w:pPr>
            <w:r>
              <w:rPr>
                <w:rFonts w:cs="Calibri" w:cstheme="minorHAnsi"/>
                <w:b/>
                <w:bCs/>
                <w:kern w:val="0"/>
                <w:sz w:val="18"/>
                <w:szCs w:val="18"/>
                <w:lang w:val="pl-PL" w:eastAsia="en-US" w:bidi="ar-SA"/>
              </w:rPr>
              <w:t>PROJEKTY</w:t>
            </w:r>
          </w:p>
        </w:tc>
        <w:tc>
          <w:tcPr>
            <w:tcW w:w="2544" w:type="dxa"/>
            <w:tcBorders>
              <w:top w:val="single" w:sz="12" w:space="0" w:color="AAAAAA"/>
              <w:left w:val="single" w:sz="12" w:space="0" w:color="AAAAAA"/>
              <w:bottom w:val="single" w:sz="12" w:space="0" w:color="AAAAAA"/>
              <w:right w:val="single" w:sz="12" w:space="0" w:color="AAAAAA"/>
            </w:tcBorders>
            <w:shd w:color="auto" w:fill="71DAFF" w:val="clear"/>
            <w:vAlign w:val="center"/>
          </w:tcPr>
          <w:p>
            <w:pPr>
              <w:pStyle w:val="Normal"/>
              <w:widowControl/>
              <w:spacing w:before="0" w:after="160"/>
              <w:contextualSpacing/>
              <w:jc w:val="center"/>
              <w:rPr>
                <w:rFonts w:cs="Calibri" w:cstheme="minorHAnsi"/>
                <w:b/>
                <w:bCs/>
                <w:sz w:val="18"/>
                <w:szCs w:val="18"/>
              </w:rPr>
            </w:pPr>
            <w:r>
              <w:rPr>
                <w:rFonts w:cs="Calibri" w:cstheme="minorHAnsi"/>
                <w:b/>
                <w:bCs/>
                <w:kern w:val="0"/>
                <w:sz w:val="18"/>
                <w:szCs w:val="18"/>
                <w:lang w:val="pl-PL" w:eastAsia="en-US" w:bidi="ar-SA"/>
              </w:rPr>
              <w:t>UZASADNIENIE POTRZEBY REALIZACJI PROJEKTU</w:t>
            </w:r>
          </w:p>
        </w:tc>
      </w:tr>
      <w:tr>
        <w:trPr>
          <w:trHeight w:val="1078"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t>Gospodarka</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ZIT-WL-1 Sieć Włocławskiego Centrum Biznesu</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ZIT-WL-2 Sieć Włocławskiego Centrum Biznesu</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ZIT-WL-3 Sieć Włocławskiego Centrum Biznesu</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ZIT-WL-4 Sieć Włocławskiego Centrum Biznesu</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ZIT-WL-5 Sieć Włocławskiego Centrum Biznesu</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 Sieć Włocławskiego Centrum Biznesu</w:t>
            </w:r>
          </w:p>
          <w:p>
            <w:pPr>
              <w:pStyle w:val="Normal"/>
              <w:widowControl/>
              <w:spacing w:lineRule="auto" w:line="240" w:before="0" w:after="160"/>
              <w:contextualSpacing/>
              <w:jc w:val="left"/>
              <w:rPr>
                <w:color w:val="000000" w:themeColor="text1"/>
                <w:sz w:val="18"/>
                <w:szCs w:val="18"/>
              </w:rPr>
            </w:pPr>
            <w:r>
              <w:rPr>
                <w:rFonts w:cs=""/>
                <w:color w:val="000000" w:themeColor="text1"/>
                <w:kern w:val="0"/>
                <w:sz w:val="18"/>
                <w:szCs w:val="22"/>
                <w:lang w:val="pl-PL" w:eastAsia="en-US" w:bidi="ar-SA"/>
              </w:rPr>
              <w:t xml:space="preserve">ZIT-WL-7 </w:t>
            </w:r>
            <w:r>
              <w:rPr>
                <w:rFonts w:cs=""/>
                <w:kern w:val="0"/>
                <w:sz w:val="18"/>
                <w:szCs w:val="18"/>
                <w:lang w:val="pl-PL" w:eastAsia="en-US" w:bidi="ar-SA"/>
              </w:rPr>
              <w:t>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ZIT-WL-64 Uzbrojenie terenów inwestycyjnych w MOF Włocławek - rozwój gospodarczy gminy Choceń</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ZIT-WL-65 Uzbrojenie terenów inwestycyjnych gminy Lubień Kujawski</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20"/>
                <w:szCs w:val="18"/>
              </w:rPr>
            </w:pPr>
            <w:r>
              <w:rPr>
                <w:rFonts w:cs="Calibri" w:cstheme="minorHAnsi"/>
                <w:bCs/>
                <w:color w:val="FFFFFF" w:themeColor="background1"/>
                <w:kern w:val="0"/>
                <w:sz w:val="18"/>
                <w:szCs w:val="18"/>
                <w:lang w:val="pl-PL" w:eastAsia="en-US" w:bidi="ar-SA"/>
              </w:rPr>
              <w:t>Uzasadnieniem realizacji projektów ze sfery gospodarki są opisy potrzeb rozwojowych w części diagnostycznej, w rozdziale „Przedsiębiorczość”</w:t>
            </w:r>
          </w:p>
        </w:tc>
      </w:tr>
      <w:tr>
        <w:trPr>
          <w:trHeight w:val="1078"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
                <w:kern w:val="0"/>
                <w:sz w:val="18"/>
                <w:szCs w:val="22"/>
                <w:lang w:val="pl-PL" w:eastAsia="en-US" w:bidi="ar-SA"/>
              </w:rPr>
              <w:t>Termomodernizacja i poprawa efektywności energetycznej</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ZIT-WL-11 Kompleksowa modernizacja energetyczna budynku Szkoły Podstawowej w miejscowości Więsławice</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ZIT-WL-12 Termomodernizacja budynku Zespołu Szkół im. Marii Grodzickiej w Lubrańcu Marysinie</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ZIT-WL-13 Termomodernizacja budynków użyteczności publicznej na terenie Gminy Izbica Kujawska</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ZIT-WL-14 Kompleksowa termomodernizacja budynków użyteczności publicznej na terenie gminy Lubraniec</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ZIT-WL-15 Termomodernizacja budynków użyteczności publicznej na terenie miasta Włocławek</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ZIT-WL-16 Termomodernizacja obiektów użyteczności publicznej.</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ZIT-WL-17 Kompleksowa termomodernizacja komunalnych budynków mieszkalnych w Kowalu</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ZIT-WL-18 Kompleksowa modernizacja energetyczna komunalnych budynków mieszkalnych na terenie Miasta i Gminy Chodecz</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ZIT-WL-19 Termomodernizacja komunalnego budynku mieszkalnego</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ZIT-WL-20 Termomodernizacja komunalnych budynków mieszkalnych</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ZIT-WL-21 Termomodernizacja komunalnych budynków mieszkalnych</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ZIT-WL-22 Kompleksowa modernizacja energetyczna komunalnych budynków mieszkalnych na terenie Gminy Boniewo</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ZIT-WL-23 Budowa kotłowni miejskiej w Brześciu Kujawskim</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ZIT-WL-24 Wymiana źródeł ciepła w jednostkach organizacyjnych powiatu</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ZIT-WL-25 Modernizacja ciepłowni lokalnej</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ZIT-WL-26 Modernizacja lokalnego źródła ciepła z infrastrukturą towarzyszącą w Zespole Szkól Boniewo</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ZIT-WL-27 Modernizacja lokalnych ciepłowni w obiektach użyteczności publicznej z wykorzystaniem OZE</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ZIT-WL-28 Wymiana oświetlenie ulicznego na terenie gminy Lubraniec</w:t>
            </w:r>
          </w:p>
          <w:p>
            <w:pPr>
              <w:pStyle w:val="Normal"/>
              <w:widowControl/>
              <w:spacing w:lineRule="auto" w:line="240" w:before="0" w:after="160"/>
              <w:contextualSpacing/>
              <w:jc w:val="left"/>
              <w:rPr>
                <w:color w:val="000000" w:themeColor="text1"/>
                <w:sz w:val="18"/>
              </w:rPr>
            </w:pPr>
            <w:r>
              <w:rPr>
                <w:rFonts w:cs="Calibri" w:cstheme="minorHAnsi"/>
                <w:bCs/>
                <w:color w:val="000000" w:themeColor="text1"/>
                <w:kern w:val="0"/>
                <w:sz w:val="18"/>
                <w:szCs w:val="18"/>
                <w:lang w:val="pl-PL" w:eastAsia="en-US" w:bidi="ar-SA"/>
              </w:rPr>
              <w:t>ZIT-WL-29 Wymiana oświetlenia na energooszczędne na obszarze Miasta Włocławek</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000000" w:themeColor="text1"/>
                <w:sz w:val="18"/>
                <w:szCs w:val="18"/>
              </w:rPr>
            </w:pPr>
            <w:r>
              <w:rPr>
                <w:rFonts w:cs="Calibri" w:cstheme="minorHAnsi"/>
                <w:bCs/>
                <w:color w:val="FFFFFF" w:themeColor="background1"/>
                <w:kern w:val="0"/>
                <w:sz w:val="18"/>
                <w:szCs w:val="18"/>
                <w:lang w:val="pl-PL" w:eastAsia="en-US" w:bidi="ar-SA"/>
              </w:rPr>
              <w:t>Uzasadnieniem realizacji projektów ze sfery termomodernizacji są opisy potrzeb rozwojowych w części diagnostycznej, w rozdziale „Poprawa efektywności energetycznej, redukcja emisji zanieczyszczeń i adaptacja do zmian klimatu”</w:t>
            </w:r>
          </w:p>
        </w:tc>
      </w:tr>
      <w:tr>
        <w:trPr>
          <w:trHeight w:val="1078"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22"/>
                <w:lang w:val="pl-PL" w:eastAsia="en-US" w:bidi="ar-SA"/>
              </w:rPr>
              <w:t>Adaptacja do zmian klimatu</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rFonts w:cs="Calibri" w:cstheme="minorHAnsi"/>
                <w:bCs/>
                <w:color w:val="FFFFFF" w:themeColor="background1"/>
                <w:sz w:val="18"/>
                <w:szCs w:val="18"/>
              </w:rPr>
            </w:pPr>
            <w:r>
              <w:rPr>
                <w:rFonts w:cs="Calibri" w:cstheme="minorHAnsi"/>
                <w:bCs/>
                <w:color w:val="000000" w:themeColor="text1"/>
                <w:kern w:val="0"/>
                <w:sz w:val="18"/>
                <w:szCs w:val="18"/>
                <w:lang w:val="pl-PL" w:eastAsia="en-US" w:bidi="ar-SA"/>
              </w:rPr>
              <w:t>ZIT-WL-30 Zielone tereny Śródmieścia miasta Włocławek</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Uzasadnieniem realizacji projektów ze sfery adaptacji do zmian klimatu są opisy potrzeb rozwojowych w części diagnostycznej, w rozdziale „Poprawa efektywności energetycznej, redukcja emisji zanieczyszczeń i adaptacja do zmian klimatu”</w:t>
            </w:r>
          </w:p>
        </w:tc>
      </w:tr>
      <w:tr>
        <w:trPr>
          <w:trHeight w:val="1078"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22"/>
                <w:lang w:val="pl-PL" w:eastAsia="en-US" w:bidi="ar-SA"/>
              </w:rPr>
              <w:t>Gospodarka wodno-ściekowa</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ZIT-WL-31 Modernizacja stacji uzdatniania wody w m. Narty, gm. Lubień Kujawski</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ZIT-WL-32 Modernizacja systemu wodociągowego w zakresie wprowadzenia inteligentnych rozwiązań"</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ZIT-WL-33Budowa i przebudowa infrastruktury służącej zaopatrzeniu ludności w wodę pitną na terenie gminy Choceń</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ZIT-WL-34 "Modernizacja systemu wodociągowego w zakresie wprowadzenia inteligentnych rozwiązań"</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ZIT-WL-35 Wykonanie systemu zdalnego pomiaru i dystrybucji wody w sieci oraz radiowych pomiarów jej zużycia na danych obszarach gminy.</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ZIT-WL-36 Rozbudowa i modernizacja stacji uzdatniania wody w Szpetalu Górnym</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ZIT-WL-37 Modernizacja sieci wodociągowej na terenie gminy Lubraniec</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ZIT-WL-38 Modernizacja sieci wodociągowej na terenie Gminy Boniewo</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Uzasadnieniem realizacji projektów ze sfery termomodernizacji są opisy potrzeb rozwojowych w części diagnostycznej, w rozdziale „Gospodarka wodno-ściekowa”</w:t>
            </w:r>
          </w:p>
        </w:tc>
      </w:tr>
      <w:tr>
        <w:trPr>
          <w:trHeight w:val="1078"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18"/>
                <w:lang w:val="pl-PL" w:eastAsia="en-US" w:bidi="ar-SA"/>
              </w:rPr>
              <w:t>Transport</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ZIT-WL-8 Poprawa funkcjonowania transportu zbiorowego w mieście Włocławek poprzez modernizację infrastruktury towarzyszącej transportowi zbiorowemu.</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ZIT-WL-9 Budowa i przebudowa dróg rowerowych na terenie miasta Włocławek</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ZIT-WL-10 Tabor na potrzeby czystej komunikacji w mieście Włocławek</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Uzasadnieniem realizacji projektów ze sfery transportu są opisy potrzeb rozwojowych w części diagnostycznej, w rozdziale „Transport”</w:t>
            </w:r>
          </w:p>
        </w:tc>
      </w:tr>
      <w:tr>
        <w:trPr>
          <w:trHeight w:val="2417"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t>Wychowanie przedszkolne</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ZIT-WL-39 Przebudowa oraz remont Przedszkola Samorządowego w Izbicy Kujawskiej wraz z budową podjazdu dla osób niepełnosprawnych</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ZIT-WL-40 Rozbudowa i modernizacja Przedszkola Publicznego nr 1 w Brześciu Kujawskim</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ZIT-WL-42 Organizacja zajęć dla dzieci w wieku przedszkolnym</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ZIT-WL-43 Organizacja zajęć i poprawa jakości opieki przedszkolnej w Gminie Brześć Kujawski</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ZIT-WL-44 "Poprawa jakości opieki przedszkolnej na terenie Miasta i Gminy Chodecz."</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ZIT-WL-45 Zwiększenie liczby miejsc przedszkolnych w Przedszkolu Samorządowym w Izbicy Kujawskiej.</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ZIT-WL-46 Organizacja zajęć dla dzieci w wieku przedszkolnym</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ZIT-WL-47 Upowszechnienie i zapewnienie wysokiej jakości edukacji przedszkolnej na terenie gminy Lubraniec</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ZIT-WL-48 Utworzenie nowych miejsc i bieżące ich funkcjonowanie w placówkach przedszkolnych na terenie gminy Lubień Kujawski</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 xml:space="preserve">Uzasadnieniem realizacji projektów ze sfery wychowania przedszkolnego są opisy potrzeb rozwojowych w części diagnostycznej, w rozdziale „Wychowanie przedszkolne (w tym identyfikacja gmin spełniających warunek dostępowy wsparcia w zakresie infrastruktury wychowania przedszkolnego)” </w:t>
            </w:r>
          </w:p>
        </w:tc>
      </w:tr>
      <w:tr>
        <w:trPr>
          <w:trHeight w:val="1955"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22"/>
                <w:lang w:val="pl-PL" w:eastAsia="en-US" w:bidi="ar-SA"/>
              </w:rPr>
              <w:t>Edukacja</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ZIT-WL-41 Budowa budynku dydaktyczno - warsztatowego dla Zespołu Szkół w Kowalu</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ZIT-WL-49 Podniesienie kompetencji kluczowych uczniów z terenu Gminy Kowal</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ZIT-WL-50 Podniesienie kompetencji kluczowych uczniów</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ZIT-WL-51 Podniesienie jakości kształcenia ogólnego w gminie Lubień Kujawski</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ZIT-WL-52 Organizacja dodatkowych zajęć dla dzieci w wieku szkolnym</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ZIT-WL-53 Uczymy się z pasją!</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ZIT-WL-54 Poprawa oferty edukacyjnej w Szkole Podstawowej im. Tadeusza Kościuszki w Chodczu</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ZIT-WL-55 Organizacja zajęć dla dzieci w wieku szkolnym</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ZIT-WL-56 Kompetencje kluczowe dla uczniów z gminy Fabianki</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ZIT-WL-57 Podniesienie kompetencji kluczowych uczniów szkół podstawowych z gminy Fabianki</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ZIT-WL-58 Wyrównywanie szans edukacyjnych poprzez podniesienie jakości i efektywności kształcenia ogólnego w gminie Lubraniec</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ZIT-WL-59 Dostosowanie kształcenia ogólnego do potrzeb rynku pracy</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ZIT-WL-60 Poprawa jakości edukacji w Szkole Podstawowej w Lubaniu</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ZIT-WL-61 Dostosowanie kształcenia zawodowego do potrzeb rynku pracy </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 xml:space="preserve">Uzasadnieniem realizacji projektów ze sfery edukacji </w:t>
              <w:br/>
              <w:t xml:space="preserve">są opisy potrzeb rozwojowych w części diagnostycznej, </w:t>
              <w:br/>
              <w:t>w rozdziałach „Kształcenie ogólne (w tym identyfikacja gmin spełniających warunek dostępowy wsparcia w zakresie infrastruktury edukacyjnej bazy sportowej)”, „Szkoły podstawowe i jakość kształcenia na poziomie szkoły podstawowej”, „Szkoły ponadpodstawowe maturalne”, „Szkoły ponadpodstawowe zawodowe”</w:t>
            </w:r>
          </w:p>
        </w:tc>
      </w:tr>
      <w:tr>
        <w:trPr>
          <w:trHeight w:val="1665"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22"/>
                <w:lang w:val="pl-PL" w:eastAsia="en-US" w:bidi="ar-SA"/>
              </w:rPr>
              <w:t>Zdrowie</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ZIT-WL-62 Remont pomieszczeń rehabilitacji w Izbicy Kujawskiej</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ZIT-WL-63 Zakup aparatu rezonansu magnetycznego wraz z dostosowaniem pomieszczeń przy Powiatowym Centrum Zdrowia</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 xml:space="preserve">Uzasadnieniem realizacji projektów ze sfery rewitalizacji i odnowy przestrzeni publicznej są opisy potrzeb rozwojowych w części diagnostycznej, </w:t>
              <w:br/>
              <w:t>w rozdziale „Opieka zdrowotna”</w:t>
            </w:r>
          </w:p>
        </w:tc>
      </w:tr>
      <w:tr>
        <w:trPr>
          <w:trHeight w:val="1665"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22"/>
                <w:lang w:val="pl-PL" w:eastAsia="en-US" w:bidi="ar-SA"/>
              </w:rPr>
              <w:t>Kultura</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ZIT-WL-66 Rozwój kultury na terenie Miasta i Gminy Chodecz</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ZIT-WL-67 Budowa i rozbudowa instytucji kultury na terenie gminy Lubraniec</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ZIT-WL-68 Przebudowa, remont oraz zakup wyposażenia na potrzeby prowadzenia edukacji kulturalnej w Miejsko-Gminnym Centrum Kultury w Izbicy Kujawskiej</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ZIT-WL-69 Centrum Życia Społecznego - adaptacja Biblioteki Publicznej w miejscowości Grabkowo</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ZIT-WL-70 Upowszechnianie działalności kulturowej na terenie Gminy Baruchowo</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ZIT-WL-71 Wsparcie działalności Gminnego Ośrodka Kultury w Lubaniu</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ZIT-WL-72 Doposażenie instytucji kultury.</w:t>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 xml:space="preserve">Uzasadnieniem realizacji projektów ze sfery kultury </w:t>
              <w:br/>
              <w:t>są opisy potrzeb rozwojowych w części diagnostycznej, w rozdziale „Instytucje kultury”</w:t>
            </w:r>
          </w:p>
        </w:tc>
      </w:tr>
      <w:tr>
        <w:trPr>
          <w:trHeight w:val="1994"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t>Turystyka</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ZIT-WL-73 Rozwój turystyki na terenie Miasta i Gminy Chodecz</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ZIT-WL-74 Rozbudowa infrastruktury turystycznej na terenie gminy Baruchowo</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ZIT-WL-75 Rozwój infrastruktury turystycznej, rekreacyjnej wraz z zakupem wyposażenia i sprzętu na terenie Gminy Izbica Kujawska</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ZIT-WL-76 Rozwój infrastruktury i promocja oferty turystycznej w Gminie Lubraniec</w:t>
            </w:r>
          </w:p>
          <w:p>
            <w:pPr>
              <w:pStyle w:val="Normal"/>
              <w:widowControl/>
              <w:spacing w:lineRule="auto" w:line="240" w:before="0" w:after="160"/>
              <w:contextualSpacing/>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 xml:space="preserve">Uzasadnieniem realizacji projektów ze sfery kultury </w:t>
              <w:br/>
              <w:t xml:space="preserve">są opisy potrzeb rozwojowych w części diagnostycznej, </w:t>
              <w:br/>
              <w:t>w rozdziale „Turystyka”</w:t>
            </w:r>
          </w:p>
        </w:tc>
      </w:tr>
      <w:tr>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22"/>
                <w:lang w:val="pl-PL" w:eastAsia="en-US" w:bidi="ar-SA"/>
              </w:rPr>
              <w:t>Rewitalizacja i odnowa przestrzeni publicznej</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ZIT-WL-77 3 Maja woonerfem</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ZIT-WL-78 Odnowa przestrzeni publicznej poprzez modernizację obiektów użyteczności publicznej na potrzeby społeczności lokalnej</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ZIT-WL-79 Odnowa przestrzeni publicznych na terenie gminy Choceń</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ZIT-WL-80 Odnowa przestrzeni publicznej w miejscowości Więsławice</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ZIT-WL-81 Odnowa przestrzeni publicznej na obszarze miasta Brześć Kujawski</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ZIT-WL-82 Odnowa przestrzeni publicznych na terenie Miasta i Gminy Chodecz</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ZIT-WL-83 Odnowa przestrzeni publicznych na terenie Gminy Izbica Kujawska</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ZIT-WL-84 Odnowa przestrzeni publicznej w Lubieniu Kujawskim</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ZIT-WL-85 Odnowa przestrzeni publicznej na terenie Parku Kulturowego w Sarnowie</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ZIT-WL-86 Odnowa przestrzeni publicznej na terenie Gminy Włocławek.</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ZIT-WL-87 Rewitalizacja - odnowa przestrzeni publicznej na terenie Gminy Boniewo</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ZIT-WL-88 Odnowa przestrzeni publicznej w gminie Fabianki</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ZIT-WL-89 Zagospodarowanie terenów przestrzeni publicznej</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rPr>
            </w:pPr>
            <w:r>
              <w:rPr>
                <w:rFonts w:cs="Calibri" w:cstheme="minorHAnsi"/>
                <w:bCs/>
                <w:color w:val="FFFFFF" w:themeColor="background1"/>
                <w:kern w:val="0"/>
                <w:sz w:val="18"/>
                <w:szCs w:val="18"/>
                <w:lang w:val="pl-PL" w:eastAsia="en-US" w:bidi="ar-SA"/>
              </w:rPr>
              <w:t xml:space="preserve">Uzasadnieniem realizacji projektów ze sfery rewitalizacji i odnowy przestrzeni publicznej są opisy potrzeb rozwojowych w części diagnostycznej, </w:t>
              <w:br/>
              <w:t xml:space="preserve">w rozdziale „Rewitalizacja </w:t>
              <w:br/>
              <w:t>i odnowa przestrzeni publicznych”</w:t>
            </w:r>
          </w:p>
        </w:tc>
      </w:tr>
      <w:tr>
        <w:trPr>
          <w:trHeight w:val="604" w:hRule="atLeast"/>
        </w:trPr>
        <w:tc>
          <w:tcPr>
            <w:tcW w:w="1684" w:type="dxa"/>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rPr>
            </w:pPr>
            <w:r>
              <w:rPr>
                <w:rFonts w:cs=""/>
                <w:kern w:val="0"/>
                <w:sz w:val="18"/>
                <w:szCs w:val="22"/>
                <w:lang w:val="pl-PL" w:eastAsia="en-US" w:bidi="ar-SA"/>
              </w:rPr>
              <w:t>Wsparcie potencjału administracyjnego</w:t>
            </w:r>
          </w:p>
        </w:tc>
        <w:tc>
          <w:tcPr>
            <w:tcW w:w="4842" w:type="dxa"/>
            <w:tcBorders>
              <w:top w:val="single" w:sz="12" w:space="0" w:color="AAAAAA"/>
              <w:left w:val="single" w:sz="12" w:space="0" w:color="AAAAAA"/>
              <w:bottom w:val="single" w:sz="12" w:space="0" w:color="AAAAAA"/>
              <w:right w:val="single" w:sz="12" w:space="0" w:color="AAAAAA"/>
            </w:tcBorders>
            <w:shd w:color="auto" w:fill="76B4F3" w:val="clear"/>
            <w:vAlign w:val="center"/>
          </w:tcPr>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ZIT-WL-90 Wsparcie potencjału administracyjnego Biura Stowarzyszenia WŁOF – Zintegrowane Inwestycje terytorialne Miejskiego Obszaru Funkcjonalnego Włocławka - etap I</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t>ZIT-WL-91 Wsparcie potencjału administracyjnego Biura Stowarzyszenia WŁOF – Zintegrowane Inwestycje terytorialne Miejskiego Obszaru Funkcjonalnego Włocławka - etap II</w:t>
            </w:r>
          </w:p>
          <w:p>
            <w:pPr>
              <w:pStyle w:val="Normal"/>
              <w:widowControl/>
              <w:spacing w:lineRule="auto" w:line="240" w:before="0" w:after="160"/>
              <w:contextualSpacing/>
              <w:jc w:val="left"/>
              <w:rPr>
                <w:color w:val="000000" w:themeColor="text1"/>
                <w:sz w:val="18"/>
              </w:rPr>
            </w:pPr>
            <w:r>
              <w:rPr>
                <w:rFonts w:cs=""/>
                <w:color w:val="000000" w:themeColor="text1"/>
                <w:kern w:val="0"/>
                <w:sz w:val="18"/>
                <w:szCs w:val="22"/>
                <w:lang w:val="pl-PL" w:eastAsia="en-US" w:bidi="ar-SA"/>
              </w:rPr>
            </w:r>
          </w:p>
        </w:tc>
        <w:tc>
          <w:tcPr>
            <w:tcW w:w="2544" w:type="dxa"/>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t xml:space="preserve">Uzasadnieniem realizacji projektów ze sfery rewitalizacji i odnowy przestrzeni publicznej są opisy potrzeb rozwojowych w części diagnostycznej, </w:t>
              <w:br/>
              <w:t xml:space="preserve">w rozdziale „Analiza potrzeb </w:t>
              <w:br/>
              <w:t>w zakresie wsparcia administracyjnego”</w:t>
            </w:r>
          </w:p>
        </w:tc>
      </w:tr>
    </w:tbl>
    <w:p>
      <w:pPr>
        <w:pStyle w:val="Normal"/>
        <w:rPr/>
      </w:pPr>
      <w:r>
        <w:rPr/>
      </w:r>
    </w:p>
    <w:p>
      <w:pPr>
        <w:pStyle w:val="2poziom"/>
        <w:numPr>
          <w:ilvl w:val="1"/>
          <w:numId w:val="53"/>
        </w:numPr>
        <w:tabs>
          <w:tab w:val="clear" w:pos="680"/>
          <w:tab w:val="left" w:pos="851" w:leader="none"/>
        </w:tabs>
        <w:ind w:left="993" w:hanging="633"/>
        <w:rPr/>
      </w:pPr>
      <w:bookmarkStart w:id="164" w:name="_Hlk134172158"/>
      <w:r>
        <w:rPr/>
        <w:t xml:space="preserve">  </w:t>
      </w:r>
      <w:bookmarkStart w:id="165" w:name="_Toc143161930"/>
      <w:r>
        <w:rPr/>
        <w:t>Uzasadnienie wyboru projektów w oparciu o preferencje określone dla poszczególnych obszarów wsparcia</w:t>
      </w:r>
      <w:bookmarkEnd w:id="164"/>
      <w:bookmarkEnd w:id="165"/>
    </w:p>
    <w:p>
      <w:pPr>
        <w:pStyle w:val="Normal"/>
        <w:spacing w:lineRule="auto" w:line="276"/>
        <w:jc w:val="both"/>
        <w:rPr>
          <w:color w:val="000000" w:themeColor="text1"/>
        </w:rPr>
      </w:pPr>
      <w:r>
        <w:rPr>
          <w:color w:val="000000" w:themeColor="text1"/>
        </w:rPr>
        <w:t>Informacje o sposobie naboru propozycji projektowych i wybór projektów na listę podstawową  oraz proces naboru uwzględnione zostały w Rozdziale 9.1 Tryb i zasady naboru projektów.</w:t>
      </w:r>
    </w:p>
    <w:p>
      <w:pPr>
        <w:pStyle w:val="Normal"/>
        <w:spacing w:lineRule="auto" w:line="276"/>
        <w:jc w:val="both"/>
        <w:rPr>
          <w:rFonts w:cs="Calibri" w:cstheme="minorHAnsi"/>
        </w:rPr>
      </w:pPr>
      <w:r>
        <w:rPr>
          <w:rFonts w:cs="Calibri" w:cstheme="minorHAnsi"/>
          <w:color w:val="000000" w:themeColor="text1"/>
        </w:rPr>
        <w:t>Celem narzędzi Zintegrowanych Inwestycji Terytorialnych jest r</w:t>
      </w:r>
      <w:r>
        <w:rPr>
          <w:rFonts w:cs="Calibri" w:cstheme="minorHAnsi"/>
        </w:rPr>
        <w:t xml:space="preserve">ealizacja pakietów różnych tematycznie, ale wzajemnie powiązanych i komplementarnych projektów. Efektem wyboru propozycji projektowych MOF Włocławek, były nie pojedyncze projekty ale pakiety projektów wzajemnie zintegrowanych i komplementarnych. Wybrane projekty oferują kompleksowe rozwiązanie zdiagnozowanych problemów na terenie MOF Włocławek i w sposób znaczący wpłyną na realizację założonych wskaźników. </w:t>
      </w:r>
    </w:p>
    <w:p>
      <w:pPr>
        <w:pStyle w:val="Normal"/>
        <w:spacing w:lineRule="auto" w:line="276"/>
        <w:jc w:val="both"/>
        <w:rPr>
          <w:rFonts w:cs="Calibri" w:cstheme="minorHAnsi"/>
        </w:rPr>
      </w:pPr>
      <w:r>
        <w:rPr>
          <w:rFonts w:cs="Calibri" w:cstheme="minorHAnsi"/>
        </w:rPr>
        <w:t xml:space="preserve">Kluczowym założeniem przy wyborze propozycji projektowych było uwzględnienie w nich preferencji ogólnych jak i szczegółowych dla każdego obszaru wsparcia, które zostały określone w dokumencie Polityka Terytorialna województwa kujawsko – pomorskiego. Spośród wszystkich zgłoszonych propozycji, wybrane zostały te, które najlepiej realizują katalog preferencji oraz spełniają założenia wynikające z tego katalogu. </w:t>
      </w:r>
      <w:r>
        <w:rPr>
          <w:rFonts w:cs="Calibri" w:cstheme="minorHAnsi"/>
          <w:color w:val="000000" w:themeColor="text1"/>
        </w:rPr>
        <w:t>Brane były pod uwagę przede wszystkim projekty, które były odpowiedzią na główne i najpilniejsze problemy w odniesieniu do rozwoju obszaru MOF Włocławek, obejmowały  działania mające strategiczne znaczenie dla rozwoju społeczno – gospodarczego obszaru MOF Włocławek oraz spełniały zasadę projektu zintegrowanego. Na liście projektów podstawowych</w:t>
        <w:br/>
        <w:t xml:space="preserve"> nie występują projekty konkurencyjne, a wyłącznie projekty dające efekt synergii. </w:t>
      </w:r>
    </w:p>
    <w:p>
      <w:pPr>
        <w:pStyle w:val="Normal"/>
        <w:spacing w:lineRule="auto" w:line="276"/>
        <w:jc w:val="both"/>
        <w:rPr>
          <w:rFonts w:cs="Calibri" w:cstheme="minorHAnsi"/>
        </w:rPr>
      </w:pPr>
      <w:r>
        <w:rPr>
          <w:rFonts w:cs="Calibri" w:cstheme="minorHAnsi"/>
          <w:color w:val="000000" w:themeColor="text1"/>
        </w:rPr>
        <w:t xml:space="preserve">Nabór propozycji projektowych przeprowadzony został przez nieformalny Zespół MOF, </w:t>
      </w:r>
      <w:r>
        <w:rPr>
          <w:rFonts w:cs="Calibri" w:cstheme="minorHAnsi"/>
          <w:b/>
          <w:bCs/>
        </w:rPr>
        <w:t>s</w:t>
      </w:r>
      <w:r>
        <w:rPr>
          <w:rFonts w:cs="Calibri" w:cstheme="minorHAnsi"/>
        </w:rPr>
        <w:t xml:space="preserve">kładający </w:t>
        <w:br/>
        <w:t>się z burmistrzów i wójtów z obszaru MOF oraz Prezydenta Miasta Włocławek i Starosty Włocławskiego. Na spotkaniach wypracowano system wyboru projektów, który w oparciu</w:t>
        <w:br/>
        <w:t xml:space="preserve"> o obiektywny zestaw kryteriów, umożliwił stworzenie listy projektów podstawowych przypisanych poszczególnym celom tematycznym. </w:t>
      </w:r>
    </w:p>
    <w:p>
      <w:pPr>
        <w:pStyle w:val="Normal"/>
        <w:spacing w:lineRule="auto" w:line="276"/>
        <w:jc w:val="both"/>
        <w:rPr>
          <w:rFonts w:cs="Calibri" w:cstheme="minorHAnsi"/>
          <w:color w:val="000000" w:themeColor="text1"/>
        </w:rPr>
      </w:pPr>
      <w:r>
        <w:rPr>
          <w:rFonts w:cs="Calibri" w:cstheme="minorHAnsi"/>
          <w:color w:val="000000" w:themeColor="text1"/>
        </w:rPr>
        <w:t>W odpowiedzi na zaproszenie Zarządu Województwa Kujawsko – Pomorskiego w I etapie procesu naboru propozycji projektowych, Miasto Włocławek oraz Gminy MOF przekazały 29 projektów</w:t>
        <w:br/>
        <w:t xml:space="preserve"> o znaczeniu strategicznym. </w:t>
      </w:r>
    </w:p>
    <w:p>
      <w:pPr>
        <w:pStyle w:val="Normal"/>
        <w:spacing w:lineRule="auto" w:line="276"/>
        <w:jc w:val="both"/>
        <w:rPr>
          <w:rFonts w:cs="Calibri" w:cstheme="minorHAnsi"/>
        </w:rPr>
      </w:pPr>
      <w:r>
        <w:rPr>
          <w:rFonts w:cs="Calibri" w:cstheme="minorHAnsi"/>
        </w:rPr>
        <w:t xml:space="preserve">W momencie ukazania się kolejnej uaktualnionej wersji FEdKP 2021-2027 oraz projektu </w:t>
      </w:r>
      <w:r>
        <w:rPr>
          <w:rFonts w:cs="Calibri" w:cstheme="minorHAnsi"/>
          <w:color w:val="000000" w:themeColor="text1"/>
        </w:rPr>
        <w:t>dokumentu Polityka Terytorialna Województwa Kujawsko – Pomorskiego, nastąpił II etap naboru propozycji projektowych. Na tym etapie, gdzie znane były bardziej szczegółowe zasady i preferencje wyboru projektów, na listę projektów podstawowych zostało zgłoszonych 85 propozycji projektowych (wrzesień 2022r.). W ramach współpracy z Instytucją Zarządzającą a Partnerami MOF Włocławek, została przeprowadzona kolejna selekcja projektów pod kątem spełnienia warunków dostępu</w:t>
        <w:br/>
        <w:t xml:space="preserve"> i </w:t>
      </w:r>
      <w:r>
        <w:rPr>
          <w:rFonts w:eastAsia="Calibri" w:cs="Calibri" w:cstheme="minorHAnsi"/>
        </w:rPr>
        <w:t xml:space="preserve">przyznanych limitów na poszczególne cele szczegółowe, ze szczególnym uwzględnieniem przekroczeń limitów </w:t>
      </w:r>
      <w:r>
        <w:rPr>
          <w:rFonts w:cs="Calibri" w:cstheme="minorHAnsi"/>
          <w:color w:val="000000" w:themeColor="text1"/>
        </w:rPr>
        <w:t>przyznanej alokacji.</w:t>
      </w:r>
      <w:r>
        <w:rPr>
          <w:rFonts w:cs="Calibri" w:cstheme="minorHAnsi"/>
        </w:rPr>
        <w:t xml:space="preserve"> </w:t>
      </w:r>
    </w:p>
    <w:p>
      <w:pPr>
        <w:pStyle w:val="Normal"/>
        <w:spacing w:lineRule="auto" w:line="276"/>
        <w:jc w:val="both"/>
        <w:rPr>
          <w:rFonts w:cs="Calibri" w:cstheme="minorHAnsi"/>
        </w:rPr>
      </w:pPr>
      <w:r>
        <w:rPr>
          <w:color w:val="000000" w:themeColor="text1"/>
        </w:rPr>
        <w:t>W III etapie naboru projektów, po negocjacjach i ostatecznej weryfikacji merytorycznej oraz finansowej przez Instytucję Zarządzającą zgłoszonych propozycji projektowych MOF Włocławek, wypracowana została ostateczna lista projektów podstawowych. Lista zawiera 91 projektów podstawowych ( w tym 2 projekty dotyczące wsparcia potencjału administracyjnego). Lista projektów podstawowych zwiera takie działania, które w 100% spełniają wszystkie kryteria i preferencje projektu zintegrowanego.</w:t>
      </w:r>
    </w:p>
    <w:p>
      <w:pPr>
        <w:pStyle w:val="Normal"/>
        <w:spacing w:lineRule="auto" w:line="276"/>
        <w:jc w:val="both"/>
        <w:rPr/>
      </w:pPr>
      <w:r>
        <w:rPr/>
        <w:t>Podejście zintegrowane przedstawiono przy pomocy wiązek projektów, które zawierają w sobie skumulowane  działania przyczyniające się do podniesienia poziomu rozwoju społeczno-gospodarczego oraz wsparcia procesu zielonej transformacji i gospodarki zeroemisyjnej.</w:t>
      </w:r>
    </w:p>
    <w:p>
      <w:pPr>
        <w:pStyle w:val="Normal"/>
        <w:spacing w:lineRule="auto" w:line="276"/>
        <w:jc w:val="both"/>
        <w:rPr/>
      </w:pPr>
      <w:r>
        <w:rPr/>
        <w:t xml:space="preserve">Przy wyborze propozycji projektowych z zakresu wiązki projektów: </w:t>
      </w:r>
      <w:r>
        <w:rPr>
          <w:b/>
          <w:bCs/>
        </w:rPr>
        <w:t>Wsparcie trwałego rozwoju</w:t>
        <w:br/>
        <w:t xml:space="preserve"> i konkurencyjności gospodarki obszaru MOF</w:t>
      </w:r>
      <w:r>
        <w:rPr/>
        <w:t xml:space="preserve">, brano pod uwagę projekty, które spełniały: </w:t>
      </w:r>
    </w:p>
    <w:p>
      <w:pPr>
        <w:pStyle w:val="ListParagraph"/>
        <w:numPr>
          <w:ilvl w:val="0"/>
          <w:numId w:val="23"/>
        </w:numPr>
        <w:spacing w:lineRule="auto" w:line="276" w:before="0" w:after="0"/>
        <w:contextualSpacing/>
        <w:rPr/>
      </w:pPr>
      <w:r>
        <w:rPr/>
        <w:t xml:space="preserve">preferencje dla projektów, w których zaplanowano świadczenie usług doradczych z zakresu regionalnych inteligentnych specjalizacji z wykorzystaniem infrastruktury powstałej w ramach projektu, </w:t>
      </w:r>
    </w:p>
    <w:p>
      <w:pPr>
        <w:pStyle w:val="ListParagraph"/>
        <w:numPr>
          <w:ilvl w:val="0"/>
          <w:numId w:val="23"/>
        </w:numPr>
        <w:spacing w:lineRule="auto" w:line="276" w:before="0" w:after="0"/>
        <w:contextualSpacing/>
        <w:rPr/>
      </w:pPr>
      <w:r>
        <w:rPr/>
        <w:t xml:space="preserve">preferencje dotyczące liczby przedsiębiorstw korzystających z obiektów przeznaczonych </w:t>
        <w:br/>
        <w:t>na wsparcie działalności biznesowej,</w:t>
      </w:r>
    </w:p>
    <w:p>
      <w:pPr>
        <w:pStyle w:val="ListParagraph"/>
        <w:numPr>
          <w:ilvl w:val="0"/>
          <w:numId w:val="23"/>
        </w:numPr>
        <w:spacing w:lineRule="auto" w:line="276" w:before="0" w:after="0"/>
        <w:contextualSpacing/>
        <w:rPr/>
      </w:pPr>
      <w:r>
        <w:rPr/>
        <w:t>preferencje związane z wypełnieniem wskaźnika produktu pn. „Nowe przedsiębiorstwa objęte wsparciem”</w:t>
      </w:r>
    </w:p>
    <w:p>
      <w:pPr>
        <w:pStyle w:val="ListParagraph"/>
        <w:numPr>
          <w:ilvl w:val="0"/>
          <w:numId w:val="23"/>
        </w:numPr>
        <w:spacing w:lineRule="auto" w:line="276" w:before="0" w:after="160"/>
        <w:contextualSpacing/>
        <w:rPr/>
      </w:pPr>
      <w:r>
        <w:rPr/>
        <w:t>preferencje związane z wypełnieniem wskaźnika rezultatu pn. „Miejsca pracy utworzone we wspieranych jednostkach”</w:t>
      </w:r>
    </w:p>
    <w:p>
      <w:pPr>
        <w:pStyle w:val="Normal"/>
        <w:spacing w:lineRule="auto" w:line="276"/>
        <w:jc w:val="both"/>
        <w:rPr/>
      </w:pPr>
      <w:r>
        <w:rPr/>
        <w:t xml:space="preserve">Przy wyborze propozycji projektowych z zakresu wiązki projektów: </w:t>
      </w:r>
      <w:r>
        <w:rPr>
          <w:b/>
          <w:bCs/>
        </w:rPr>
        <w:t>Kształcenie zawodowe</w:t>
      </w:r>
      <w:r>
        <w:rPr/>
        <w:t>, brano pod uwagę projekty, które spełniały:</w:t>
      </w:r>
    </w:p>
    <w:p>
      <w:pPr>
        <w:pStyle w:val="ListParagraph"/>
        <w:numPr>
          <w:ilvl w:val="0"/>
          <w:numId w:val="23"/>
        </w:numPr>
        <w:spacing w:lineRule="auto" w:line="276" w:before="0" w:after="160"/>
        <w:contextualSpacing/>
        <w:rPr/>
      </w:pPr>
      <w:r>
        <w:rPr/>
        <w:t xml:space="preserve">rozwiązania wspierające zgodności z zasadą DNSH, </w:t>
      </w:r>
    </w:p>
    <w:p>
      <w:pPr>
        <w:pStyle w:val="ListParagraph"/>
        <w:numPr>
          <w:ilvl w:val="0"/>
          <w:numId w:val="23"/>
        </w:numPr>
        <w:spacing w:lineRule="auto" w:line="276" w:before="0" w:after="160"/>
        <w:contextualSpacing/>
        <w:rPr/>
      </w:pPr>
      <w:r>
        <w:rPr/>
        <w:t>stosowanie dobrych praktyk z zakresu ochrony zieleni i drzew w celu zminimalizowania wpływu prowadzonych  prac na występujące siedliska i gatunki,</w:t>
      </w:r>
    </w:p>
    <w:p>
      <w:pPr>
        <w:pStyle w:val="ListParagraph"/>
        <w:numPr>
          <w:ilvl w:val="0"/>
          <w:numId w:val="23"/>
        </w:numPr>
        <w:spacing w:lineRule="auto" w:line="276" w:before="0" w:after="160"/>
        <w:contextualSpacing/>
        <w:rPr/>
      </w:pPr>
      <w:r>
        <w:rPr/>
        <w:t>preferencje w zakresie inwestycji obejmującej w szczególności infrastrukturę związaną</w:t>
        <w:br/>
        <w:t xml:space="preserve"> z kształceniem w zawodach, na które istnieje regionalne lub lokalne zapotrzebowanie</w:t>
      </w:r>
    </w:p>
    <w:p>
      <w:pPr>
        <w:pStyle w:val="Normal"/>
        <w:spacing w:lineRule="auto" w:line="276"/>
        <w:jc w:val="both"/>
        <w:rPr/>
      </w:pPr>
      <w:bookmarkStart w:id="166" w:name="_Hlk136933193"/>
      <w:r>
        <w:rPr/>
        <w:t xml:space="preserve">Przy wyborze propozycji projektowych z zakresu wiązki projektów: </w:t>
      </w:r>
      <w:r>
        <w:rPr>
          <w:b/>
          <w:bCs/>
        </w:rPr>
        <w:t>Wspieranie zrównoważonej mobilności miejskiej</w:t>
      </w:r>
      <w:r>
        <w:rPr/>
        <w:t>, brano pod uwagę projekty, które spełniały:</w:t>
      </w:r>
    </w:p>
    <w:p>
      <w:pPr>
        <w:pStyle w:val="ListParagraph"/>
        <w:numPr>
          <w:ilvl w:val="0"/>
          <w:numId w:val="24"/>
        </w:numPr>
        <w:spacing w:lineRule="auto" w:line="276" w:before="0" w:after="160"/>
        <w:contextualSpacing/>
        <w:rPr/>
      </w:pPr>
      <w:r>
        <w:rPr/>
        <w:t xml:space="preserve">preferencje w zakresie wykorzystania pojazdów napędzanych przy zastosowaniu technologii wodorowej oraz innych bezemisyjnych form napędu, </w:t>
      </w:r>
    </w:p>
    <w:p>
      <w:pPr>
        <w:pStyle w:val="ListParagraph"/>
        <w:numPr>
          <w:ilvl w:val="0"/>
          <w:numId w:val="24"/>
        </w:numPr>
        <w:spacing w:lineRule="auto" w:line="276" w:before="0" w:after="160"/>
        <w:contextualSpacing/>
        <w:rPr/>
      </w:pPr>
      <w:r>
        <w:rPr/>
        <w:t xml:space="preserve">preferencje w zakresie realizacji projektu w oparciu o Plan Zrównoważonej Mobilności Miejskiej (miasta powyżej 100 tys. mieszkańców), </w:t>
      </w:r>
    </w:p>
    <w:p>
      <w:pPr>
        <w:pStyle w:val="ListParagraph"/>
        <w:numPr>
          <w:ilvl w:val="0"/>
          <w:numId w:val="24"/>
        </w:numPr>
        <w:spacing w:lineRule="auto" w:line="276" w:before="0" w:after="160"/>
        <w:contextualSpacing/>
        <w:rPr/>
      </w:pPr>
      <w:r>
        <w:rPr/>
        <w:t xml:space="preserve">preferencje w zakresie rozwoju i usprawnienia systemu transportu miejskiego, </w:t>
      </w:r>
    </w:p>
    <w:p>
      <w:pPr>
        <w:pStyle w:val="ListParagraph"/>
        <w:numPr>
          <w:ilvl w:val="0"/>
          <w:numId w:val="24"/>
        </w:numPr>
        <w:spacing w:lineRule="auto" w:line="276" w:before="0" w:after="160"/>
        <w:contextualSpacing/>
        <w:rPr/>
      </w:pPr>
      <w:r>
        <w:rPr/>
        <w:t>preferencje w zakresie likwidacji luk w istniejącej sieci infrastruktury rowerowej</w:t>
      </w:r>
    </w:p>
    <w:p>
      <w:pPr>
        <w:pStyle w:val="ListParagraph"/>
        <w:numPr>
          <w:ilvl w:val="0"/>
          <w:numId w:val="24"/>
        </w:numPr>
        <w:spacing w:lineRule="auto" w:line="276" w:before="0" w:after="160"/>
        <w:contextualSpacing/>
        <w:rPr/>
      </w:pPr>
      <w:bookmarkStart w:id="167" w:name="_Hlk136933193"/>
      <w:r>
        <w:rPr/>
        <w:t>preferencje w zakresie realizacji projektu w oparciu o posiadany SUMP</w:t>
      </w:r>
      <w:bookmarkEnd w:id="167"/>
    </w:p>
    <w:p>
      <w:pPr>
        <w:pStyle w:val="Normal"/>
        <w:spacing w:lineRule="auto" w:line="276"/>
        <w:jc w:val="both"/>
        <w:rPr/>
      </w:pPr>
      <w:r>
        <w:rPr/>
        <w:t xml:space="preserve">Przy wyborze propozycji projektowych z zakresu wiązki projektów: </w:t>
      </w:r>
      <w:r>
        <w:rPr>
          <w:b/>
          <w:bCs/>
        </w:rPr>
        <w:t xml:space="preserve">Poprawa efektywności energetycznej oraz redukcja emisji gazów cieplarnianych na obszarze MOF, </w:t>
      </w:r>
      <w:r>
        <w:rPr/>
        <w:t>brano pod uwagę projekty, które spełniały:</w:t>
      </w:r>
    </w:p>
    <w:p>
      <w:pPr>
        <w:pStyle w:val="ListParagraph"/>
        <w:numPr>
          <w:ilvl w:val="0"/>
          <w:numId w:val="25"/>
        </w:numPr>
        <w:spacing w:lineRule="auto" w:line="276" w:before="0" w:after="160"/>
        <w:contextualSpacing/>
        <w:rPr/>
      </w:pPr>
      <w:r>
        <w:rPr/>
        <w:t xml:space="preserve">rozwiązania wspierające zgodności z zasadą DNSH – wprowadzanie gatunków rodzimych </w:t>
        <w:br/>
        <w:t>w ramach prac nad zagospodarowaniem otoczenia termomodernizacyjnych obiektów,</w:t>
      </w:r>
    </w:p>
    <w:p>
      <w:pPr>
        <w:pStyle w:val="ListParagraph"/>
        <w:numPr>
          <w:ilvl w:val="0"/>
          <w:numId w:val="25"/>
        </w:numPr>
        <w:spacing w:lineRule="auto" w:line="276" w:before="0" w:after="160"/>
        <w:contextualSpacing/>
        <w:rPr/>
      </w:pPr>
      <w:r>
        <w:rPr/>
        <w:t xml:space="preserve"> </w:t>
      </w:r>
      <w:r>
        <w:rPr/>
        <w:t xml:space="preserve">preferencje w zakresie wykorzystania OZE, </w:t>
      </w:r>
    </w:p>
    <w:p>
      <w:pPr>
        <w:pStyle w:val="ListParagraph"/>
        <w:numPr>
          <w:ilvl w:val="0"/>
          <w:numId w:val="25"/>
        </w:numPr>
        <w:spacing w:lineRule="auto" w:line="276" w:before="0" w:after="160"/>
        <w:contextualSpacing/>
        <w:rPr/>
      </w:pPr>
      <w:r>
        <w:rPr/>
        <w:t>preferencje w zakresie zmiany dotychczasowego źródła ogrzewania na OZE</w:t>
      </w:r>
    </w:p>
    <w:p>
      <w:pPr>
        <w:pStyle w:val="Normal"/>
        <w:spacing w:lineRule="auto" w:line="276"/>
        <w:jc w:val="both"/>
        <w:rPr/>
      </w:pPr>
      <w:r>
        <w:rPr/>
        <w:t xml:space="preserve">Przy wyborze propozycji projektowych z zakresu wiązki projektów: </w:t>
      </w:r>
      <w:r>
        <w:rPr>
          <w:b/>
          <w:bCs/>
        </w:rPr>
        <w:t>Poprawa dostępu do dobrej jakości wody i zrównoważona gospodarka wodna oraz</w:t>
      </w:r>
      <w:r>
        <w:rPr/>
        <w:t xml:space="preserve"> </w:t>
      </w:r>
      <w:r>
        <w:rPr>
          <w:b/>
          <w:bCs/>
        </w:rPr>
        <w:t xml:space="preserve">działania adaptacyjne mające na celu budowanie odporności i przystosowanie do zmian klimatu, </w:t>
      </w:r>
      <w:r>
        <w:rPr/>
        <w:t>brano pod uwagę projekty, które spełniały:</w:t>
      </w:r>
    </w:p>
    <w:p>
      <w:pPr>
        <w:pStyle w:val="ListParagraph"/>
        <w:numPr>
          <w:ilvl w:val="0"/>
          <w:numId w:val="26"/>
        </w:numPr>
        <w:spacing w:lineRule="auto" w:line="276" w:before="0" w:after="160"/>
        <w:contextualSpacing/>
        <w:rPr/>
      </w:pPr>
      <w:r>
        <w:rPr/>
        <w:t xml:space="preserve">preferencje z zakresu działań zielono – niebieskiej infrastruktury, </w:t>
      </w:r>
    </w:p>
    <w:p>
      <w:pPr>
        <w:pStyle w:val="ListParagraph"/>
        <w:numPr>
          <w:ilvl w:val="0"/>
          <w:numId w:val="26"/>
        </w:numPr>
        <w:spacing w:lineRule="auto" w:line="276" w:before="0" w:after="160"/>
        <w:contextualSpacing/>
        <w:rPr/>
      </w:pPr>
      <w:r>
        <w:rPr/>
        <w:t>rozwiązania wspierające zgodności z zasadą DNSH – w urządzaniu terenów zielonych wykorzystanie rodzimych gatunków roślin,</w:t>
      </w:r>
    </w:p>
    <w:p>
      <w:pPr>
        <w:pStyle w:val="Normal"/>
        <w:spacing w:lineRule="auto" w:line="276"/>
        <w:jc w:val="both"/>
        <w:rPr/>
      </w:pPr>
      <w:r>
        <w:rPr/>
        <w:t xml:space="preserve">Przy wyborze propozycji projektowych z zakresu wiązki projektów: </w:t>
      </w:r>
      <w:r>
        <w:rPr>
          <w:b/>
          <w:bCs/>
        </w:rPr>
        <w:t xml:space="preserve">Wsparcie instytucji kultury, </w:t>
      </w:r>
      <w:r>
        <w:rPr/>
        <w:t>brano pod uwagę projekty, które spełniały:</w:t>
      </w:r>
    </w:p>
    <w:p>
      <w:pPr>
        <w:pStyle w:val="ListParagraph"/>
        <w:numPr>
          <w:ilvl w:val="0"/>
          <w:numId w:val="27"/>
        </w:numPr>
        <w:spacing w:lineRule="auto" w:line="276" w:before="0" w:after="160"/>
        <w:contextualSpacing/>
        <w:rPr/>
      </w:pPr>
      <w:r>
        <w:rPr/>
        <w:t>rozwiązania wspierające zgodności z zasadą DNSH,</w:t>
      </w:r>
    </w:p>
    <w:p>
      <w:pPr>
        <w:pStyle w:val="ListParagraph"/>
        <w:numPr>
          <w:ilvl w:val="0"/>
          <w:numId w:val="27"/>
        </w:numPr>
        <w:spacing w:lineRule="auto" w:line="276" w:before="0" w:after="160"/>
        <w:contextualSpacing/>
        <w:rPr/>
      </w:pPr>
      <w:r>
        <w:rPr/>
        <w:t xml:space="preserve">rozwiązania z zakresu zielono – niebieskiej infrastruktury, </w:t>
      </w:r>
    </w:p>
    <w:p>
      <w:pPr>
        <w:pStyle w:val="ListParagraph"/>
        <w:numPr>
          <w:ilvl w:val="0"/>
          <w:numId w:val="27"/>
        </w:numPr>
        <w:spacing w:lineRule="auto" w:line="276" w:before="0" w:after="160"/>
        <w:contextualSpacing/>
        <w:rPr/>
      </w:pPr>
      <w:r>
        <w:rPr/>
        <w:t xml:space="preserve">rozwiązania w zakresie zastosowania gatunków rodzimych w zagospodarowanie otoczenia, </w:t>
      </w:r>
    </w:p>
    <w:p>
      <w:pPr>
        <w:pStyle w:val="ListParagraph"/>
        <w:numPr>
          <w:ilvl w:val="0"/>
          <w:numId w:val="27"/>
        </w:numPr>
        <w:spacing w:lineRule="auto" w:line="276" w:before="0" w:after="160"/>
        <w:contextualSpacing/>
        <w:rPr/>
      </w:pPr>
      <w:r>
        <w:rPr/>
        <w:t xml:space="preserve">rozwiązania w zakresie stosowania dobrych praktyk z zakresu ochrony zieleni i drzew w celu zminimalizowania wpływu prowadzonych prac na występujące siedliska i gatunki  </w:t>
      </w:r>
    </w:p>
    <w:p>
      <w:pPr>
        <w:pStyle w:val="Normal"/>
        <w:spacing w:lineRule="auto" w:line="276"/>
        <w:jc w:val="both"/>
        <w:rPr/>
      </w:pPr>
      <w:r>
        <w:rPr/>
        <w:t xml:space="preserve">Przy wyborze propozycji projektowych z zakresu wiązki projektów: </w:t>
      </w:r>
      <w:r>
        <w:rPr>
          <w:b/>
          <w:bCs/>
        </w:rPr>
        <w:t xml:space="preserve">Rozwój turystyki, </w:t>
      </w:r>
      <w:r>
        <w:rPr/>
        <w:t>brano pod uwagę projekty, które spełniały:</w:t>
      </w:r>
    </w:p>
    <w:p>
      <w:pPr>
        <w:pStyle w:val="ListParagraph"/>
        <w:numPr>
          <w:ilvl w:val="0"/>
          <w:numId w:val="28"/>
        </w:numPr>
        <w:spacing w:lineRule="auto" w:line="276" w:before="0" w:after="160"/>
        <w:contextualSpacing/>
        <w:rPr/>
      </w:pPr>
      <w:r>
        <w:rPr/>
        <w:t>rozwiązania wspierające zgodności z zasadą DNSH,</w:t>
      </w:r>
    </w:p>
    <w:p>
      <w:pPr>
        <w:pStyle w:val="ListParagraph"/>
        <w:numPr>
          <w:ilvl w:val="0"/>
          <w:numId w:val="28"/>
        </w:numPr>
        <w:spacing w:lineRule="auto" w:line="276" w:before="0" w:after="160"/>
        <w:contextualSpacing/>
        <w:rPr/>
      </w:pPr>
      <w:r>
        <w:rPr/>
        <w:t xml:space="preserve">rozwiązania z zakresu zielono – niebieskiej infrastruktury, </w:t>
      </w:r>
    </w:p>
    <w:p>
      <w:pPr>
        <w:pStyle w:val="ListParagraph"/>
        <w:numPr>
          <w:ilvl w:val="0"/>
          <w:numId w:val="28"/>
        </w:numPr>
        <w:spacing w:lineRule="auto" w:line="276" w:before="0" w:after="160"/>
        <w:contextualSpacing/>
        <w:rPr/>
      </w:pPr>
      <w:r>
        <w:rPr/>
        <w:t xml:space="preserve">rozwiązania w zakresie zastosowania gatunków rodzimych w zagospodarowanie otoczenia, </w:t>
      </w:r>
    </w:p>
    <w:p>
      <w:pPr>
        <w:pStyle w:val="ListParagraph"/>
        <w:numPr>
          <w:ilvl w:val="0"/>
          <w:numId w:val="28"/>
        </w:numPr>
        <w:spacing w:lineRule="auto" w:line="276" w:before="0" w:after="160"/>
        <w:contextualSpacing/>
        <w:rPr/>
      </w:pPr>
      <w:r>
        <w:rPr/>
        <w:t xml:space="preserve">rozwiązania w zakresie stosowania dobrych praktyk z zakresu ochrony zieleni i drzew w celu zminimalizowania wpływu prowadzonych prac na występujące siedliska i gatunki  </w:t>
      </w:r>
    </w:p>
    <w:p>
      <w:pPr>
        <w:pStyle w:val="Normal"/>
        <w:spacing w:lineRule="auto" w:line="276"/>
        <w:jc w:val="both"/>
        <w:rPr/>
      </w:pPr>
      <w:r>
        <w:rPr/>
        <w:t xml:space="preserve">Przy wyborze propozycji projektowych z zakresu wiązki projektów: </w:t>
      </w:r>
      <w:r>
        <w:rPr>
          <w:b/>
          <w:bCs/>
        </w:rPr>
        <w:t xml:space="preserve">Odnowa przestrzeni publicznych,  </w:t>
      </w:r>
      <w:r>
        <w:rPr/>
        <w:t>brano pod uwagę projekty, które spełniały:</w:t>
      </w:r>
    </w:p>
    <w:p>
      <w:pPr>
        <w:pStyle w:val="ListParagraph"/>
        <w:numPr>
          <w:ilvl w:val="0"/>
          <w:numId w:val="29"/>
        </w:numPr>
        <w:spacing w:lineRule="auto" w:line="276" w:before="0" w:after="160"/>
        <w:contextualSpacing/>
        <w:rPr/>
      </w:pPr>
      <w:r>
        <w:rPr/>
        <w:t>rozwiązania wspierające zgodności z zasadą DNSH,</w:t>
      </w:r>
    </w:p>
    <w:p>
      <w:pPr>
        <w:pStyle w:val="ListParagraph"/>
        <w:numPr>
          <w:ilvl w:val="0"/>
          <w:numId w:val="29"/>
        </w:numPr>
        <w:spacing w:lineRule="auto" w:line="276" w:before="0" w:after="160"/>
        <w:contextualSpacing/>
        <w:rPr/>
      </w:pPr>
      <w:r>
        <w:rPr/>
        <w:t>rozwiązania z zakresu zielono – niebieskiej infrastruktury,</w:t>
      </w:r>
    </w:p>
    <w:p>
      <w:pPr>
        <w:pStyle w:val="ListParagraph"/>
        <w:numPr>
          <w:ilvl w:val="0"/>
          <w:numId w:val="29"/>
        </w:numPr>
        <w:spacing w:lineRule="auto" w:line="276" w:before="0" w:after="160"/>
        <w:contextualSpacing/>
        <w:rPr/>
      </w:pPr>
      <w:r>
        <w:rPr/>
        <w:t>rozwiązania w zakresie zastosowania gatunków rodzimych w zagospodarowanie otoczenia</w:t>
      </w:r>
    </w:p>
    <w:p>
      <w:pPr>
        <w:pStyle w:val="Normal"/>
        <w:spacing w:lineRule="auto" w:line="276"/>
        <w:jc w:val="both"/>
        <w:rPr/>
      </w:pPr>
      <w:r>
        <w:rPr/>
        <w:t xml:space="preserve">Przy wyborze propozycji projektowych z zakresu wiązki projektów: </w:t>
      </w:r>
      <w:r>
        <w:rPr>
          <w:rFonts w:cs="Calibri" w:cstheme="minorHAnsi"/>
          <w:b/>
          <w:bCs/>
          <w:color w:val="000000" w:themeColor="text1"/>
        </w:rPr>
        <w:t>Rewitalizacja,</w:t>
      </w:r>
      <w:r>
        <w:rPr>
          <w:rFonts w:cs="Calibri" w:cstheme="minorHAnsi"/>
          <w:b/>
          <w:bCs/>
          <w:color w:val="FF0000"/>
        </w:rPr>
        <w:t xml:space="preserve"> </w:t>
      </w:r>
      <w:r>
        <w:rPr/>
        <w:t>brano pod uwagę projekty, które spełniały:</w:t>
      </w:r>
    </w:p>
    <w:p>
      <w:pPr>
        <w:pStyle w:val="ListParagraph"/>
        <w:numPr>
          <w:ilvl w:val="0"/>
          <w:numId w:val="29"/>
        </w:numPr>
        <w:spacing w:lineRule="auto" w:line="276" w:before="0" w:after="160"/>
        <w:contextualSpacing/>
        <w:rPr/>
      </w:pPr>
      <w:r>
        <w:rPr/>
        <w:t>rozwiązania wspierające zgodności z zasadą DNSH,</w:t>
      </w:r>
    </w:p>
    <w:p>
      <w:pPr>
        <w:pStyle w:val="ListParagraph"/>
        <w:numPr>
          <w:ilvl w:val="0"/>
          <w:numId w:val="29"/>
        </w:numPr>
        <w:spacing w:lineRule="auto" w:line="276" w:before="0" w:after="160"/>
        <w:contextualSpacing/>
        <w:rPr/>
      </w:pPr>
      <w:r>
        <w:rPr/>
        <w:t>rozwiązania z zakresu zielono – niebieskiej infrastruktury,</w:t>
      </w:r>
    </w:p>
    <w:p>
      <w:pPr>
        <w:pStyle w:val="ListParagraph"/>
        <w:numPr>
          <w:ilvl w:val="0"/>
          <w:numId w:val="29"/>
        </w:numPr>
        <w:spacing w:lineRule="auto" w:line="276" w:before="0" w:after="160"/>
        <w:contextualSpacing/>
        <w:rPr/>
      </w:pPr>
      <w:r>
        <w:rPr/>
        <w:t>rozwiązania w zakresie zastosowania gatunków rodzimych w zagospodarowanie otoczenia</w:t>
      </w:r>
    </w:p>
    <w:p>
      <w:pPr>
        <w:pStyle w:val="Normal"/>
        <w:spacing w:lineRule="auto" w:line="276" w:before="0" w:after="120"/>
        <w:jc w:val="both"/>
        <w:rPr>
          <w:color w:val="000000" w:themeColor="text1"/>
        </w:rPr>
      </w:pPr>
      <w:r>
        <w:rPr>
          <w:color w:val="000000" w:themeColor="text1"/>
        </w:rPr>
        <w:t xml:space="preserve">Zgłoszone projekty zaplanowane do realizacji w ramach Polityki Terytorialnej </w:t>
      </w:r>
      <w:r>
        <w:rPr>
          <w:rStyle w:val="Hgkelc"/>
        </w:rPr>
        <w:t xml:space="preserve">charakteryzującym </w:t>
        <w:br/>
        <w:t>się trzema głównymi cechami: posiadają jasno określone cele, czas realizacji oraz określone środki</w:t>
        <w:br/>
        <w:t xml:space="preserve"> do wykorzystania.</w:t>
      </w:r>
      <w:r>
        <w:rPr>
          <w:color w:val="000000" w:themeColor="text1"/>
        </w:rPr>
        <w:t xml:space="preserve">  W sposób kompleksowy odpowiadają </w:t>
      </w:r>
      <w:r>
        <w:rPr>
          <w:rStyle w:val="Markedcontent"/>
        </w:rPr>
        <w:t>na zdiagnozowane wyzwania i problemy obszaru MOF Włocławek, realizują działania zintegrowane nie tylko obszarowo ale i tematycznie oraz integrują działania „twarde” i „miękkie”.</w:t>
      </w:r>
    </w:p>
    <w:p>
      <w:pPr>
        <w:pStyle w:val="Normal"/>
        <w:spacing w:lineRule="auto" w:line="276"/>
        <w:jc w:val="both"/>
        <w:rPr/>
      </w:pPr>
      <w:r>
        <w:rPr/>
      </w:r>
    </w:p>
    <w:p>
      <w:pPr>
        <w:pStyle w:val="Normal"/>
        <w:spacing w:lineRule="auto" w:line="276"/>
        <w:jc w:val="both"/>
        <w:rPr/>
      </w:pPr>
      <w:r>
        <w:rPr/>
      </w:r>
    </w:p>
    <w:p>
      <w:pPr>
        <w:pStyle w:val="Normal"/>
        <w:rPr>
          <w:color w:val="00B050"/>
        </w:rPr>
      </w:pPr>
      <w:r>
        <w:rPr>
          <w:color w:val="00B050"/>
        </w:rPr>
      </w:r>
    </w:p>
    <w:p>
      <w:pPr>
        <w:pStyle w:val="Normal"/>
        <w:rPr>
          <w:color w:val="00B050"/>
        </w:rPr>
      </w:pPr>
      <w:r>
        <w:rPr>
          <w:color w:val="00B050"/>
        </w:rPr>
      </w:r>
    </w:p>
    <w:p>
      <w:pPr>
        <w:sectPr>
          <w:headerReference w:type="default" r:id="rId31"/>
          <w:headerReference w:type="first" r:id="rId32"/>
          <w:footerReference w:type="default" r:id="rId33"/>
          <w:footerReference w:type="first" r:id="rId34"/>
          <w:footnotePr>
            <w:numFmt w:val="decimal"/>
          </w:footnotePr>
          <w:type w:val="nextPage"/>
          <w:pgSz w:w="11906" w:h="16838"/>
          <w:pgMar w:left="1418" w:right="1418" w:gutter="0" w:header="283" w:top="1560" w:footer="227" w:bottom="1134"/>
          <w:pgNumType w:fmt="decimal"/>
          <w:formProt w:val="false"/>
          <w:titlePg/>
          <w:textDirection w:val="lrTb"/>
          <w:docGrid w:type="default" w:linePitch="360" w:charSpace="4096"/>
        </w:sectPr>
        <w:pStyle w:val="Normal"/>
        <w:rPr>
          <w:color w:val="00B050"/>
        </w:rPr>
      </w:pPr>
      <w:r>
        <w:rPr>
          <w:color w:val="00B050"/>
        </w:rPr>
      </w:r>
    </w:p>
    <w:p>
      <w:pPr>
        <w:pStyle w:val="2poziom"/>
        <w:numPr>
          <w:ilvl w:val="1"/>
          <w:numId w:val="54"/>
        </w:numPr>
        <w:ind w:left="851" w:hanging="491"/>
        <w:rPr/>
      </w:pPr>
      <w:bookmarkStart w:id="168" w:name="_Hlk134172174"/>
      <w:bookmarkStart w:id="169" w:name="_Hlk134098109"/>
      <w:r>
        <w:rPr/>
        <w:t xml:space="preserve"> </w:t>
      </w:r>
      <w:bookmarkStart w:id="170" w:name="_Toc143161931"/>
      <w:r>
        <w:rPr/>
        <w:t xml:space="preserve">Wykaz wybranych projektów do wsparcia wraz z ich </w:t>
      </w:r>
      <w:bookmarkEnd w:id="168"/>
      <w:bookmarkEnd w:id="169"/>
      <w:r>
        <w:rPr/>
        <w:t>charakterystyką</w:t>
      </w:r>
      <w:bookmarkEnd w:id="170"/>
    </w:p>
    <w:p>
      <w:pPr>
        <w:pStyle w:val="TytuMAPiTABEL"/>
        <w:tabs>
          <w:tab w:val="clear" w:pos="680"/>
          <w:tab w:val="left" w:pos="12885" w:leader="none"/>
        </w:tabs>
        <w:ind w:right="-284" w:hanging="0"/>
        <w:rPr/>
      </w:pPr>
      <w:r>
        <w:rPr/>
        <w:t xml:space="preserve">    </w:t>
      </w:r>
      <w:r>
        <w:rPr/>
        <w:t>Tabela 26. Lista projektów podstawowych</w:t>
        <w:tab/>
      </w:r>
    </w:p>
    <w:tbl>
      <w:tblPr>
        <w:tblStyle w:val="Tabela-Siatka"/>
        <w:tblW w:w="22681" w:type="dxa"/>
        <w:jc w:val="left"/>
        <w:tblInd w:w="-714" w:type="dxa"/>
        <w:tblLayout w:type="fixed"/>
        <w:tblCellMar>
          <w:top w:w="0" w:type="dxa"/>
          <w:left w:w="108" w:type="dxa"/>
          <w:bottom w:w="0" w:type="dxa"/>
          <w:right w:w="108" w:type="dxa"/>
        </w:tblCellMar>
        <w:tblLook w:firstRow="1" w:noVBand="1" w:lastRow="0" w:firstColumn="1" w:lastColumn="0" w:noHBand="0" w:val="04a0"/>
      </w:tblPr>
      <w:tblGrid>
        <w:gridCol w:w="993"/>
        <w:gridCol w:w="560"/>
        <w:gridCol w:w="715"/>
        <w:gridCol w:w="1844"/>
        <w:gridCol w:w="1984"/>
        <w:gridCol w:w="1701"/>
        <w:gridCol w:w="1701"/>
        <w:gridCol w:w="991"/>
        <w:gridCol w:w="992"/>
        <w:gridCol w:w="1134"/>
        <w:gridCol w:w="1560"/>
        <w:gridCol w:w="708"/>
        <w:gridCol w:w="1560"/>
        <w:gridCol w:w="1558"/>
        <w:gridCol w:w="1561"/>
        <w:gridCol w:w="3113"/>
      </w:tblGrid>
      <w:tr>
        <w:trPr>
          <w:trHeight w:val="1631" w:hRule="atLeast"/>
        </w:trPr>
        <w:tc>
          <w:tcPr>
            <w:tcW w:w="993"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Lp.</w:t>
            </w:r>
          </w:p>
          <w:p>
            <w:pPr>
              <w:pStyle w:val="Normal"/>
              <w:widowControl/>
              <w:spacing w:before="0" w:after="160"/>
              <w:ind w:left="-546" w:firstLine="546"/>
              <w:jc w:val="center"/>
              <w:rPr>
                <w:b/>
                <w:bCs/>
                <w:sz w:val="18"/>
                <w:szCs w:val="18"/>
              </w:rPr>
            </w:pPr>
            <w:r>
              <w:rPr>
                <w:rFonts w:cs=""/>
                <w:b/>
                <w:bCs/>
                <w:kern w:val="0"/>
                <w:sz w:val="18"/>
                <w:szCs w:val="18"/>
                <w:lang w:val="pl-PL" w:eastAsia="en-US" w:bidi="ar-SA"/>
              </w:rPr>
            </w:r>
          </w:p>
        </w:tc>
        <w:tc>
          <w:tcPr>
            <w:tcW w:w="560"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Cel polityki</w:t>
            </w:r>
          </w:p>
        </w:tc>
        <w:tc>
          <w:tcPr>
            <w:tcW w:w="715"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Cel szczegółowy</w:t>
            </w:r>
          </w:p>
        </w:tc>
        <w:tc>
          <w:tcPr>
            <w:tcW w:w="1844"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Typ wsparcia</w:t>
            </w:r>
          </w:p>
        </w:tc>
        <w:tc>
          <w:tcPr>
            <w:tcW w:w="1984"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Wiązka projektów*</w:t>
            </w:r>
          </w:p>
        </w:tc>
        <w:tc>
          <w:tcPr>
            <w:tcW w:w="1701"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Beneficjent</w:t>
            </w:r>
          </w:p>
        </w:tc>
        <w:tc>
          <w:tcPr>
            <w:tcW w:w="1701"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Nazwa projektu</w:t>
            </w:r>
          </w:p>
        </w:tc>
        <w:tc>
          <w:tcPr>
            <w:tcW w:w="991"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Zasięg terytorialny realizacji projektu</w:t>
            </w:r>
          </w:p>
        </w:tc>
        <w:tc>
          <w:tcPr>
            <w:tcW w:w="992"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t>Czy projekt znajduje</w:t>
            </w:r>
          </w:p>
          <w:p>
            <w:pPr>
              <w:pStyle w:val="Normal"/>
              <w:widowControl/>
              <w:spacing w:before="0" w:after="0"/>
              <w:jc w:val="center"/>
              <w:rPr>
                <w:b/>
                <w:bCs/>
                <w:sz w:val="18"/>
                <w:szCs w:val="18"/>
              </w:rPr>
            </w:pPr>
            <w:r>
              <w:rPr>
                <w:rFonts w:cs=""/>
                <w:b/>
                <w:bCs/>
                <w:kern w:val="0"/>
                <w:sz w:val="18"/>
                <w:szCs w:val="18"/>
                <w:lang w:val="pl-PL" w:eastAsia="en-US" w:bidi="ar-SA"/>
              </w:rPr>
              <w:t>się na</w:t>
            </w:r>
          </w:p>
          <w:p>
            <w:pPr>
              <w:pStyle w:val="Normal"/>
              <w:widowControl/>
              <w:spacing w:before="0" w:after="0"/>
              <w:jc w:val="center"/>
              <w:rPr>
                <w:b/>
                <w:bCs/>
                <w:sz w:val="18"/>
                <w:szCs w:val="18"/>
              </w:rPr>
            </w:pPr>
            <w:r>
              <w:rPr>
                <w:rFonts w:cs=""/>
                <w:b/>
                <w:bCs/>
                <w:kern w:val="0"/>
                <w:sz w:val="18"/>
                <w:szCs w:val="18"/>
                <w:lang w:val="pl-PL" w:eastAsia="en-US" w:bidi="ar-SA"/>
              </w:rPr>
              <w:t>obszarze proble</w:t>
            </w:r>
          </w:p>
          <w:p>
            <w:pPr>
              <w:pStyle w:val="Normal"/>
              <w:widowControl/>
              <w:spacing w:before="0" w:after="0"/>
              <w:jc w:val="center"/>
              <w:rPr>
                <w:b/>
                <w:bCs/>
                <w:sz w:val="18"/>
                <w:szCs w:val="18"/>
              </w:rPr>
            </w:pPr>
            <w:r>
              <w:rPr>
                <w:rFonts w:cs=""/>
                <w:b/>
                <w:bCs/>
                <w:kern w:val="0"/>
                <w:sz w:val="18"/>
                <w:szCs w:val="18"/>
                <w:lang w:val="pl-PL" w:eastAsia="en-US" w:bidi="ar-SA"/>
              </w:rPr>
              <w:t>mowym? (TAK/NIE)</w:t>
            </w:r>
          </w:p>
        </w:tc>
        <w:tc>
          <w:tcPr>
            <w:tcW w:w="1134"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Okres realizacji projektu</w:t>
            </w:r>
          </w:p>
        </w:tc>
        <w:tc>
          <w:tcPr>
            <w:tcW w:w="1560"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Całkowita wartość projektu</w:t>
            </w:r>
          </w:p>
        </w:tc>
        <w:tc>
          <w:tcPr>
            <w:tcW w:w="708"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Źródło</w:t>
            </w:r>
          </w:p>
          <w:p>
            <w:pPr>
              <w:pStyle w:val="Normal"/>
              <w:widowControl/>
              <w:spacing w:before="0" w:after="0"/>
              <w:jc w:val="center"/>
              <w:rPr>
                <w:b/>
                <w:bCs/>
                <w:sz w:val="18"/>
                <w:szCs w:val="18"/>
              </w:rPr>
            </w:pPr>
            <w:r>
              <w:rPr>
                <w:rFonts w:cs=""/>
                <w:b/>
                <w:bCs/>
                <w:kern w:val="0"/>
                <w:sz w:val="18"/>
                <w:szCs w:val="18"/>
                <w:lang w:val="pl-PL" w:eastAsia="en-US" w:bidi="ar-SA"/>
              </w:rPr>
              <w:t>dofinansowania</w:t>
            </w:r>
          </w:p>
          <w:p>
            <w:pPr>
              <w:pStyle w:val="Normal"/>
              <w:widowControl/>
              <w:spacing w:before="0" w:after="0"/>
              <w:jc w:val="center"/>
              <w:rPr>
                <w:b/>
                <w:bCs/>
                <w:sz w:val="18"/>
                <w:szCs w:val="18"/>
              </w:rPr>
            </w:pPr>
            <w:r>
              <w:rPr>
                <w:rFonts w:cs=""/>
                <w:b/>
                <w:bCs/>
                <w:kern w:val="0"/>
                <w:sz w:val="18"/>
                <w:szCs w:val="18"/>
                <w:lang w:val="pl-PL" w:eastAsia="en-US" w:bidi="ar-SA"/>
              </w:rPr>
              <w:t>EFRR/</w:t>
            </w:r>
          </w:p>
          <w:p>
            <w:pPr>
              <w:pStyle w:val="Normal"/>
              <w:widowControl/>
              <w:spacing w:before="0" w:after="0"/>
              <w:jc w:val="center"/>
              <w:rPr>
                <w:b/>
                <w:bCs/>
                <w:sz w:val="18"/>
                <w:szCs w:val="18"/>
              </w:rPr>
            </w:pPr>
            <w:r>
              <w:rPr>
                <w:rFonts w:cs=""/>
                <w:b/>
                <w:bCs/>
                <w:kern w:val="0"/>
                <w:sz w:val="18"/>
                <w:szCs w:val="18"/>
                <w:lang w:val="pl-PL" w:eastAsia="en-US" w:bidi="ar-SA"/>
              </w:rPr>
              <w:t>EFS+</w:t>
            </w:r>
          </w:p>
        </w:tc>
        <w:tc>
          <w:tcPr>
            <w:tcW w:w="1560"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r>
          </w:p>
          <w:p>
            <w:pPr>
              <w:pStyle w:val="Normal"/>
              <w:widowControl/>
              <w:spacing w:before="0" w:after="160"/>
              <w:jc w:val="center"/>
              <w:rPr>
                <w:b/>
                <w:bCs/>
                <w:sz w:val="18"/>
                <w:szCs w:val="18"/>
              </w:rPr>
            </w:pPr>
            <w:r>
              <w:rPr>
                <w:rFonts w:cs=""/>
                <w:b/>
                <w:bCs/>
                <w:kern w:val="0"/>
                <w:sz w:val="18"/>
                <w:szCs w:val="18"/>
                <w:lang w:val="pl-PL" w:eastAsia="en-US" w:bidi="ar-SA"/>
              </w:rPr>
              <w:t>Koszty kwalifikowalne (euro)</w:t>
            </w:r>
          </w:p>
        </w:tc>
        <w:tc>
          <w:tcPr>
            <w:tcW w:w="1558"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Dofinansowanie</w:t>
            </w:r>
          </w:p>
          <w:p>
            <w:pPr>
              <w:pStyle w:val="Normal"/>
              <w:widowControl/>
              <w:spacing w:before="0" w:after="0"/>
              <w:jc w:val="center"/>
              <w:rPr>
                <w:b/>
                <w:bCs/>
                <w:sz w:val="18"/>
                <w:szCs w:val="18"/>
              </w:rPr>
            </w:pPr>
            <w:r>
              <w:rPr>
                <w:rFonts w:cs=""/>
                <w:b/>
                <w:bCs/>
                <w:kern w:val="0"/>
                <w:sz w:val="18"/>
                <w:szCs w:val="18"/>
                <w:lang w:val="pl-PL" w:eastAsia="en-US" w:bidi="ar-SA"/>
              </w:rPr>
              <w:t>UE (euro)</w:t>
            </w:r>
          </w:p>
        </w:tc>
        <w:tc>
          <w:tcPr>
            <w:tcW w:w="1561"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Wkład</w:t>
            </w:r>
          </w:p>
          <w:p>
            <w:pPr>
              <w:pStyle w:val="Normal"/>
              <w:widowControl/>
              <w:spacing w:before="0" w:after="0"/>
              <w:jc w:val="center"/>
              <w:rPr>
                <w:b/>
                <w:bCs/>
                <w:sz w:val="18"/>
                <w:szCs w:val="18"/>
              </w:rPr>
            </w:pPr>
            <w:r>
              <w:rPr>
                <w:rFonts w:cs=""/>
                <w:b/>
                <w:bCs/>
                <w:kern w:val="0"/>
                <w:sz w:val="18"/>
                <w:szCs w:val="18"/>
                <w:lang w:val="pl-PL" w:eastAsia="en-US" w:bidi="ar-SA"/>
              </w:rPr>
              <w:t>Własny</w:t>
            </w:r>
          </w:p>
          <w:p>
            <w:pPr>
              <w:pStyle w:val="Normal"/>
              <w:widowControl/>
              <w:spacing w:before="0" w:after="0"/>
              <w:jc w:val="center"/>
              <w:rPr>
                <w:b/>
                <w:bCs/>
                <w:sz w:val="18"/>
                <w:szCs w:val="18"/>
              </w:rPr>
            </w:pPr>
            <w:r>
              <w:rPr>
                <w:rFonts w:cs=""/>
                <w:b/>
                <w:bCs/>
                <w:kern w:val="0"/>
                <w:sz w:val="18"/>
                <w:szCs w:val="18"/>
                <w:lang w:val="pl-PL" w:eastAsia="en-US" w:bidi="ar-SA"/>
              </w:rPr>
              <w:t>(euro)</w:t>
            </w:r>
          </w:p>
        </w:tc>
        <w:tc>
          <w:tcPr>
            <w:tcW w:w="3113" w:type="dxa"/>
            <w:tcBorders/>
            <w:shd w:color="auto" w:fill="75B4F3" w:val="clear"/>
          </w:tcPr>
          <w:p>
            <w:pPr>
              <w:pStyle w:val="Normal"/>
              <w:widowControl/>
              <w:spacing w:before="0" w:after="160"/>
              <w:jc w:val="center"/>
              <w:rPr>
                <w:b/>
                <w:bCs/>
                <w:sz w:val="18"/>
                <w:szCs w:val="18"/>
              </w:rPr>
            </w:pPr>
            <w:r>
              <w:rPr>
                <w:rFonts w:cs=""/>
                <w:b/>
                <w:bCs/>
                <w:kern w:val="0"/>
                <w:sz w:val="18"/>
                <w:szCs w:val="18"/>
                <w:lang w:val="pl-PL" w:eastAsia="en-US" w:bidi="ar-SA"/>
              </w:rPr>
              <w:t>Wskaźniki projektu</w:t>
            </w:r>
          </w:p>
        </w:tc>
      </w:tr>
      <w:tr>
        <w:trPr>
          <w:trHeight w:val="1652" w:hRule="atLeast"/>
        </w:trPr>
        <w:tc>
          <w:tcPr>
            <w:tcW w:w="993" w:type="dxa"/>
            <w:tcBorders>
              <w:top w:val="nil"/>
            </w:tcBorders>
            <w:shd w:color="auto" w:fill="auto" w:val="clear"/>
            <w:vAlign w:val="center"/>
          </w:tcPr>
          <w:p>
            <w:pPr>
              <w:pStyle w:val="Normal"/>
              <w:widowControl/>
              <w:spacing w:before="0" w:after="160"/>
              <w:ind w:left="-546" w:firstLine="546"/>
              <w:jc w:val="center"/>
              <w:rPr>
                <w:rFonts w:cs="Calibri" w:cstheme="minorHAnsi"/>
                <w:sz w:val="18"/>
                <w:szCs w:val="18"/>
              </w:rPr>
            </w:pPr>
            <w:r>
              <w:rPr>
                <w:rFonts w:eastAsia="Times New Roman" w:cs="Calibri" w:cstheme="minorHAnsi"/>
                <w:kern w:val="0"/>
                <w:sz w:val="18"/>
                <w:szCs w:val="18"/>
                <w:lang w:val="pl-PL" w:eastAsia="pl-PL" w:bidi="ar-SA"/>
              </w:rPr>
              <w:t>ZIT-WL-1</w:t>
            </w:r>
          </w:p>
        </w:tc>
        <w:tc>
          <w:tcPr>
            <w:tcW w:w="560"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CP1</w:t>
            </w:r>
          </w:p>
        </w:tc>
        <w:tc>
          <w:tcPr>
            <w:tcW w:w="715"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1(iii)</w:t>
            </w:r>
          </w:p>
        </w:tc>
        <w:tc>
          <w:tcPr>
            <w:tcW w:w="1844"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Wsparcie infrastruktury biznesowej, w tym m.in. powstawania i rozwoju inkubatorów przedsiębiorczości, ośrodków wspierających przedsiębiorczość.</w:t>
            </w:r>
          </w:p>
        </w:tc>
        <w:tc>
          <w:tcPr>
            <w:tcW w:w="1984" w:type="dxa"/>
            <w:tcBorders/>
          </w:tcPr>
          <w:p>
            <w:pPr>
              <w:pStyle w:val="Normal"/>
              <w:widowControl/>
              <w:spacing w:before="0" w:after="160"/>
              <w:jc w:val="center"/>
              <w:rPr>
                <w:sz w:val="18"/>
                <w:szCs w:val="18"/>
              </w:rPr>
            </w:pPr>
            <w:r>
              <w:rPr>
                <w:rFonts w:cs=""/>
                <w:kern w:val="0"/>
                <w:sz w:val="18"/>
                <w:szCs w:val="18"/>
                <w:lang w:val="pl-PL" w:eastAsia="en-US" w:bidi="ar-SA"/>
              </w:rPr>
            </w:r>
          </w:p>
          <w:p>
            <w:pPr>
              <w:pStyle w:val="Normal"/>
              <w:widowControl/>
              <w:spacing w:before="0" w:after="16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Gmina Brześć Kujawski</w:t>
            </w:r>
          </w:p>
        </w:tc>
        <w:tc>
          <w:tcPr>
            <w:tcW w:w="1701" w:type="dxa"/>
            <w:tcBorders>
              <w:top w:val="nil"/>
            </w:tcBorders>
            <w:shd w:color="auto" w:fill="auto" w:val="clear"/>
            <w:vAlign w:val="center"/>
          </w:tcPr>
          <w:p>
            <w:pPr>
              <w:pStyle w:val="Normal"/>
              <w:widowControl/>
              <w:spacing w:before="0" w:after="160"/>
              <w:jc w:val="left"/>
              <w:rPr>
                <w:rFonts w:cs="Calibri" w:cstheme="minorHAnsi"/>
                <w:sz w:val="18"/>
                <w:szCs w:val="18"/>
              </w:rPr>
            </w:pPr>
            <w:r>
              <w:rPr>
                <w:rFonts w:eastAsia="Times New Roman" w:cs="Calibri" w:cstheme="minorHAnsi"/>
                <w:kern w:val="0"/>
                <w:sz w:val="18"/>
                <w:szCs w:val="18"/>
                <w:lang w:val="pl-PL" w:eastAsia="pl-PL" w:bidi="ar-SA"/>
              </w:rPr>
              <w:t>Sieć Włocławskiego Centrum Biznesu</w:t>
            </w:r>
          </w:p>
        </w:tc>
        <w:tc>
          <w:tcPr>
            <w:tcW w:w="991"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III kw.2024-IV kw.2026</w:t>
            </w:r>
          </w:p>
        </w:tc>
        <w:tc>
          <w:tcPr>
            <w:tcW w:w="1560"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37 647,05</w:t>
            </w:r>
          </w:p>
        </w:tc>
        <w:tc>
          <w:tcPr>
            <w:tcW w:w="708"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EFRR</w:t>
            </w:r>
          </w:p>
        </w:tc>
        <w:tc>
          <w:tcPr>
            <w:tcW w:w="1560"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37 647,05</w:t>
            </w:r>
          </w:p>
        </w:tc>
        <w:tc>
          <w:tcPr>
            <w:tcW w:w="1558"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32 000,00</w:t>
            </w:r>
          </w:p>
        </w:tc>
        <w:tc>
          <w:tcPr>
            <w:tcW w:w="1561"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5 647,05</w:t>
            </w:r>
          </w:p>
        </w:tc>
        <w:tc>
          <w:tcPr>
            <w:tcW w:w="3113" w:type="dxa"/>
            <w:tcBorders/>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małych przedsiębiorstw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mikroprzedsiębiorstw – 12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Liczba wspartych średnich przedsiębiorstw – 1 szt.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Przedsiębiorstwa otrzymujące wsparcie niefinansowe – 15 szt. </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lang w:val="pl-PL" w:eastAsia="pl-PL" w:bidi="ar-SA"/>
              </w:rPr>
              <w:t xml:space="preserve">MŚP korzystające z usług inkubatora przedsiębiorczości po jego utworzeniu – </w:t>
            </w:r>
            <w:r>
              <w:rPr>
                <w:rFonts w:eastAsia="Times New Roman" w:cs="Calibri" w:cstheme="minorHAnsi"/>
                <w:color w:val="000000" w:themeColor="text1"/>
                <w:kern w:val="0"/>
                <w:sz w:val="18"/>
                <w:szCs w:val="18"/>
                <w:lang w:val="pl-PL" w:eastAsia="pl-PL" w:bidi="ar-SA"/>
              </w:rPr>
              <w:t>15 szt./rok</w:t>
            </w:r>
          </w:p>
        </w:tc>
      </w:tr>
      <w:tr>
        <w:trPr>
          <w:trHeight w:val="1271" w:hRule="atLeast"/>
        </w:trPr>
        <w:tc>
          <w:tcPr>
            <w:tcW w:w="993" w:type="dxa"/>
            <w:tcBorders>
              <w:top w:val="nil"/>
            </w:tcBorders>
            <w:shd w:color="auto" w:fill="auto" w:val="clear"/>
            <w:vAlign w:val="center"/>
          </w:tcPr>
          <w:p>
            <w:pPr>
              <w:pStyle w:val="Normal"/>
              <w:widowControl/>
              <w:spacing w:before="0" w:after="160"/>
              <w:ind w:left="-546" w:firstLine="546"/>
              <w:jc w:val="center"/>
              <w:rPr>
                <w:rFonts w:cs="Calibri" w:cstheme="minorHAnsi"/>
                <w:sz w:val="18"/>
                <w:szCs w:val="18"/>
              </w:rPr>
            </w:pPr>
            <w:r>
              <w:rPr>
                <w:rFonts w:eastAsia="Times New Roman" w:cs="Calibri" w:cstheme="minorHAnsi"/>
                <w:kern w:val="0"/>
                <w:sz w:val="18"/>
                <w:szCs w:val="18"/>
                <w:lang w:val="pl-PL" w:eastAsia="pl-PL" w:bidi="ar-SA"/>
              </w:rPr>
              <w:t>ZIT-WL-2</w:t>
            </w:r>
          </w:p>
        </w:tc>
        <w:tc>
          <w:tcPr>
            <w:tcW w:w="560"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CP1</w:t>
            </w:r>
          </w:p>
        </w:tc>
        <w:tc>
          <w:tcPr>
            <w:tcW w:w="715"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1(iii)</w:t>
            </w:r>
          </w:p>
        </w:tc>
        <w:tc>
          <w:tcPr>
            <w:tcW w:w="1844" w:type="dxa"/>
            <w:tcBorders/>
            <w:shd w:color="auto" w:fill="auto" w:val="clea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Wsparcie infrastruktury biznesowej, w tym m.in. powstawania i rozwoju inkubatorów przedsiębiorczości, ośrodków wspierających przedsiębiorczość.</w:t>
            </w:r>
          </w:p>
        </w:tc>
        <w:tc>
          <w:tcPr>
            <w:tcW w:w="1984" w:type="dxa"/>
            <w:tcBorders/>
          </w:tcPr>
          <w:p>
            <w:pPr>
              <w:pStyle w:val="Normal"/>
              <w:widowControl/>
              <w:spacing w:before="0" w:after="160"/>
              <w:jc w:val="left"/>
              <w:rPr>
                <w:sz w:val="18"/>
                <w:szCs w:val="18"/>
              </w:rPr>
            </w:pPr>
            <w:r>
              <w:rPr>
                <w:rFonts w:cs=""/>
                <w:kern w:val="0"/>
                <w:sz w:val="18"/>
                <w:szCs w:val="18"/>
                <w:lang w:val="pl-PL" w:eastAsia="en-US" w:bidi="ar-SA"/>
              </w:rPr>
            </w:r>
          </w:p>
          <w:p>
            <w:pPr>
              <w:pStyle w:val="Normal"/>
              <w:widowControl/>
              <w:spacing w:before="0" w:after="16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shd w:color="auto" w:fill="auto" w:val="clear"/>
            <w:vAlign w:val="center"/>
          </w:tcPr>
          <w:p>
            <w:pPr>
              <w:pStyle w:val="Normal"/>
              <w:widowControl/>
              <w:spacing w:before="0" w:after="160"/>
              <w:jc w:val="left"/>
              <w:rPr>
                <w:rFonts w:cs="Calibri" w:cstheme="minorHAnsi"/>
                <w:sz w:val="18"/>
                <w:szCs w:val="18"/>
              </w:rPr>
            </w:pPr>
            <w:r>
              <w:rPr>
                <w:rFonts w:eastAsia="Times New Roman" w:cs="Calibri" w:cstheme="minorHAnsi"/>
                <w:kern w:val="0"/>
                <w:sz w:val="18"/>
                <w:szCs w:val="18"/>
                <w:lang w:val="pl-PL" w:eastAsia="pl-PL" w:bidi="ar-SA"/>
              </w:rPr>
              <w:t>Gmina Lubraniec</w:t>
            </w:r>
          </w:p>
        </w:tc>
        <w:tc>
          <w:tcPr>
            <w:tcW w:w="1701" w:type="dxa"/>
            <w:tcBorders/>
            <w:shd w:color="auto" w:fill="auto" w:val="clear"/>
            <w:vAlign w:val="center"/>
          </w:tcPr>
          <w:p>
            <w:pPr>
              <w:pStyle w:val="Normal"/>
              <w:widowControl/>
              <w:spacing w:before="0" w:after="160"/>
              <w:jc w:val="left"/>
              <w:rPr>
                <w:rFonts w:cs="Calibri" w:cstheme="minorHAnsi"/>
                <w:sz w:val="18"/>
                <w:szCs w:val="18"/>
              </w:rPr>
            </w:pPr>
            <w:r>
              <w:rPr>
                <w:rFonts w:eastAsia="Times New Roman" w:cs="Calibri" w:cstheme="minorHAnsi"/>
                <w:kern w:val="0"/>
                <w:sz w:val="18"/>
                <w:szCs w:val="18"/>
                <w:lang w:val="pl-PL" w:eastAsia="pl-PL" w:bidi="ar-SA"/>
              </w:rPr>
              <w:t>Sieć Włocławskiego Centrum Biznesu</w:t>
            </w:r>
          </w:p>
        </w:tc>
        <w:tc>
          <w:tcPr>
            <w:tcW w:w="991"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III kw.2024- IV kw.2024</w:t>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tc>
        <w:tc>
          <w:tcPr>
            <w:tcW w:w="1560" w:type="dxa"/>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37 647,00</w:t>
            </w:r>
          </w:p>
        </w:tc>
        <w:tc>
          <w:tcPr>
            <w:tcW w:w="708" w:type="dxa"/>
            <w:tcBorders/>
            <w:shd w:color="auto" w:fill="auto"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EFRR</w:t>
            </w:r>
          </w:p>
        </w:tc>
        <w:tc>
          <w:tcPr>
            <w:tcW w:w="1560" w:type="dxa"/>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37 647,00</w:t>
            </w:r>
          </w:p>
        </w:tc>
        <w:tc>
          <w:tcPr>
            <w:tcW w:w="1558" w:type="dxa"/>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32 000,00</w:t>
            </w:r>
          </w:p>
        </w:tc>
        <w:tc>
          <w:tcPr>
            <w:tcW w:w="1561" w:type="dxa"/>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5 647,00</w:t>
            </w:r>
          </w:p>
        </w:tc>
        <w:tc>
          <w:tcPr>
            <w:tcW w:w="3113" w:type="dxa"/>
            <w:tcBorders/>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u w:val="single"/>
                <w:lang w:val="pl-PL" w:eastAsia="pl-PL" w:bidi="ar-SA"/>
              </w:rPr>
              <w:t>Wskaźnik produktu</w:t>
            </w:r>
            <w:r>
              <w:rPr>
                <w:rFonts w:eastAsia="Times New Roman" w:cs="Calibri" w:cstheme="minorHAnsi"/>
                <w:kern w:val="0"/>
                <w:sz w:val="18"/>
                <w:szCs w:val="18"/>
                <w:lang w:val="pl-PL" w:eastAsia="pl-PL" w:bidi="ar-SA"/>
              </w:rPr>
              <w: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Przedsiębiorstwa objęte wsparciem w formie dotacji –  10 przedsiębiorstw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mikroprzedsiębiorstw – 10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Przedsiębiorstwa otrzymujące wsparcie niefinansowe – 10 szt. </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Miejsca pracy utworzone we wspieranych jednostkach – 1 EPC/rok</w:t>
            </w:r>
          </w:p>
        </w:tc>
      </w:tr>
      <w:tr>
        <w:trPr>
          <w:trHeight w:val="1204" w:hRule="atLeast"/>
        </w:trPr>
        <w:tc>
          <w:tcPr>
            <w:tcW w:w="993"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ZIT-WL-3</w:t>
            </w:r>
          </w:p>
        </w:tc>
        <w:tc>
          <w:tcPr>
            <w:tcW w:w="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CP1</w:t>
            </w:r>
          </w:p>
        </w:tc>
        <w:tc>
          <w:tcPr>
            <w:tcW w:w="715"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1(iii)</w:t>
            </w:r>
          </w:p>
        </w:tc>
        <w:tc>
          <w:tcPr>
            <w:tcW w:w="1844" w:type="dxa"/>
            <w:tcBorders/>
            <w:shd w:color="auto" w:fill="auto" w:val="clea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Wsparcie infrastruktury biznesowej, w tym m.in. powstawania i rozwoju inkubatorów przedsiębiorczości, ośrodków wspierających przedsiębiorczość.</w:t>
            </w:r>
          </w:p>
        </w:tc>
        <w:tc>
          <w:tcPr>
            <w:tcW w:w="1984" w:type="dxa"/>
            <w:tcBorders/>
          </w:tcPr>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Gmina Włocławek</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Sieć Włocławskiego Centrum Biznesu</w:t>
            </w:r>
          </w:p>
        </w:tc>
        <w:tc>
          <w:tcPr>
            <w:tcW w:w="991"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kw.2023-IV kw. 2024</w:t>
            </w:r>
          </w:p>
        </w:tc>
        <w:tc>
          <w:tcPr>
            <w:tcW w:w="1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38235,29</w:t>
            </w:r>
          </w:p>
        </w:tc>
        <w:tc>
          <w:tcPr>
            <w:tcW w:w="708"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EFRR</w:t>
            </w:r>
          </w:p>
        </w:tc>
        <w:tc>
          <w:tcPr>
            <w:tcW w:w="1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38235,29</w:t>
            </w:r>
          </w:p>
        </w:tc>
        <w:tc>
          <w:tcPr>
            <w:tcW w:w="1558"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32 500,00</w:t>
            </w:r>
          </w:p>
        </w:tc>
        <w:tc>
          <w:tcPr>
            <w:tcW w:w="1561"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5 735,29</w:t>
            </w:r>
          </w:p>
        </w:tc>
        <w:tc>
          <w:tcPr>
            <w:tcW w:w="3113" w:type="dxa"/>
            <w:tcBorders/>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Wspierane strategie zintegrowanego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Przedsiębiorstwa objęte wsparciem (w tym: mikro, małe średnie, duże) – 10 przedsiębiorstw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małych przedsiębiorstw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Przedsiębiorstwa otrzymujące wsparcie niefinansowe – 1 szt. </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Miejsca pracy utworzone we wspieranych jednostkach – 1 EPC/rok</w:t>
            </w:r>
          </w:p>
        </w:tc>
      </w:tr>
      <w:tr>
        <w:trPr>
          <w:trHeight w:val="1678" w:hRule="atLeast"/>
        </w:trPr>
        <w:tc>
          <w:tcPr>
            <w:tcW w:w="993"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ZIT-WL-4</w:t>
            </w:r>
          </w:p>
        </w:tc>
        <w:tc>
          <w:tcPr>
            <w:tcW w:w="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CP1</w:t>
            </w:r>
          </w:p>
        </w:tc>
        <w:tc>
          <w:tcPr>
            <w:tcW w:w="715"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1(iii)</w:t>
            </w:r>
          </w:p>
        </w:tc>
        <w:tc>
          <w:tcPr>
            <w:tcW w:w="1844" w:type="dxa"/>
            <w:tcBorders/>
            <w:shd w:color="auto" w:fill="auto" w:val="clea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Wsparcie infrastruktury biznesowej, w tym m.in. powstawania i rozwoju inkubatorów przedsiębiorczości, ośrodków wspierających przedsiębiorczość.</w:t>
            </w:r>
          </w:p>
        </w:tc>
        <w:tc>
          <w:tcPr>
            <w:tcW w:w="1984" w:type="dxa"/>
            <w:tcBorders/>
          </w:tcPr>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Gmina Lubanie</w:t>
            </w:r>
          </w:p>
        </w:tc>
        <w:tc>
          <w:tcPr>
            <w:tcW w:w="1701" w:type="dxa"/>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Sieć Włocławskiego Centrum Biznesu</w:t>
            </w:r>
          </w:p>
        </w:tc>
        <w:tc>
          <w:tcPr>
            <w:tcW w:w="991"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kw.2024-IV kw. 2026</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tc>
        <w:tc>
          <w:tcPr>
            <w:tcW w:w="1560"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38 000,00</w:t>
            </w:r>
          </w:p>
        </w:tc>
        <w:tc>
          <w:tcPr>
            <w:tcW w:w="708"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EFRR</w:t>
            </w:r>
          </w:p>
        </w:tc>
        <w:tc>
          <w:tcPr>
            <w:tcW w:w="1560"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38 000,00</w:t>
            </w:r>
          </w:p>
        </w:tc>
        <w:tc>
          <w:tcPr>
            <w:tcW w:w="1558"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32 300,00</w:t>
            </w:r>
          </w:p>
        </w:tc>
        <w:tc>
          <w:tcPr>
            <w:tcW w:w="1561"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5 700,00</w:t>
            </w:r>
          </w:p>
        </w:tc>
        <w:tc>
          <w:tcPr>
            <w:tcW w:w="3113" w:type="dxa"/>
            <w:tcBorders/>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Przedsiębiorstwa objęte wsparciem (w tym: mikro, małe średnie, duże) – 20 przedsiębiorstw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Przedsiębiorstwa otrzymujące wsparcie niefinansowe – 20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małych przedsiębiorstw – 5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mikroprzedsiębiorstw – 15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MŚP korzystające z usług inkubatora przedsiębiorczości po jego utworzeniu – 4szt./rok</w:t>
            </w:r>
          </w:p>
        </w:tc>
      </w:tr>
      <w:tr>
        <w:trPr>
          <w:trHeight w:val="708" w:hRule="atLeast"/>
        </w:trPr>
        <w:tc>
          <w:tcPr>
            <w:tcW w:w="993" w:type="dxa"/>
            <w:tcBorders>
              <w:top w:val="nil"/>
            </w:tcBorders>
            <w:shd w:color="auto" w:fill="auto" w:val="clear"/>
            <w:vAlign w:val="center"/>
          </w:tcPr>
          <w:p>
            <w:pPr>
              <w:pStyle w:val="Normal"/>
              <w:widowControl/>
              <w:spacing w:before="0" w:after="0"/>
              <w:ind w:left="-546" w:firstLine="546"/>
              <w:jc w:val="center"/>
              <w:rPr>
                <w:rFonts w:cs="Calibri" w:cstheme="minorHAnsi"/>
                <w:sz w:val="18"/>
                <w:szCs w:val="18"/>
              </w:rPr>
            </w:pPr>
            <w:r>
              <w:rPr>
                <w:rFonts w:eastAsia="Times New Roman" w:cs="Calibri" w:cstheme="minorHAnsi"/>
                <w:kern w:val="0"/>
                <w:sz w:val="18"/>
                <w:szCs w:val="18"/>
                <w:lang w:val="pl-PL" w:eastAsia="pl-PL" w:bidi="ar-SA"/>
              </w:rPr>
              <w:t>ZIT-WL-5</w:t>
            </w:r>
          </w:p>
        </w:tc>
        <w:tc>
          <w:tcPr>
            <w:tcW w:w="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CP1</w:t>
            </w:r>
          </w:p>
        </w:tc>
        <w:tc>
          <w:tcPr>
            <w:tcW w:w="715"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1(iii)</w:t>
            </w:r>
          </w:p>
        </w:tc>
        <w:tc>
          <w:tcPr>
            <w:tcW w:w="1844" w:type="dxa"/>
            <w:tcBorders/>
            <w:shd w:color="auto" w:fill="auto" w:val="clea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Wsparcie infrastruktury biznesowej, w tym m.in. powstawania i rozwoju inkubatorów przedsiębiorczości, ośrodków wspierających przedsiębiorczość.</w:t>
            </w:r>
          </w:p>
        </w:tc>
        <w:tc>
          <w:tcPr>
            <w:tcW w:w="1984" w:type="dxa"/>
            <w:tcBorders/>
          </w:tcPr>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Gmina Baruchowo</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Sieć Włocławskiego Centrum Biznesu</w:t>
            </w:r>
          </w:p>
        </w:tc>
        <w:tc>
          <w:tcPr>
            <w:tcW w:w="991"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kw.2025-III kw. 2025</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65 000,00</w:t>
            </w:r>
          </w:p>
        </w:tc>
        <w:tc>
          <w:tcPr>
            <w:tcW w:w="70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65 000,00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32 500,00</w:t>
            </w:r>
          </w:p>
        </w:tc>
        <w:tc>
          <w:tcPr>
            <w:tcW w:w="1561" w:type="dxa"/>
            <w:tcBorders/>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32 500,00</w:t>
            </w:r>
          </w:p>
        </w:tc>
        <w:tc>
          <w:tcPr>
            <w:tcW w:w="3113" w:type="dxa"/>
            <w:tcBorders/>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małych przedsiębiorstw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mikroprzedsiębiorstw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średnich przedsiębiorstw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 </w:t>
            </w:r>
            <w:r>
              <w:rPr>
                <w:rFonts w:eastAsia="Times New Roman" w:cs="Calibri" w:cstheme="minorHAnsi"/>
                <w:kern w:val="0"/>
                <w:sz w:val="18"/>
                <w:szCs w:val="18"/>
                <w:lang w:val="pl-PL" w:eastAsia="pl-PL" w:bidi="ar-SA"/>
              </w:rPr>
              <w:t>Przedsiębiorstwa otrzymujące wsparcie niefinansowe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MŚP korzystające z usług inkubatora przedsiębiorczości po jego utworzeniu – 10 szt./rok</w:t>
            </w:r>
          </w:p>
        </w:tc>
      </w:tr>
      <w:tr>
        <w:trPr>
          <w:trHeight w:val="850" w:hRule="atLeast"/>
        </w:trPr>
        <w:tc>
          <w:tcPr>
            <w:tcW w:w="993" w:type="dxa"/>
            <w:tcBorders>
              <w:top w:val="nil"/>
            </w:tcBorders>
            <w:shd w:color="auto" w:fill="auto" w:val="clear"/>
            <w:vAlign w:val="center"/>
          </w:tcPr>
          <w:p>
            <w:pPr>
              <w:pStyle w:val="Normal"/>
              <w:widowControl/>
              <w:spacing w:before="0" w:after="0"/>
              <w:ind w:left="-546" w:firstLine="546"/>
              <w:jc w:val="center"/>
              <w:rPr>
                <w:rFonts w:cs="Calibri" w:cstheme="minorHAnsi"/>
                <w:sz w:val="18"/>
                <w:szCs w:val="18"/>
              </w:rPr>
            </w:pPr>
            <w:r>
              <w:rPr>
                <w:rFonts w:eastAsia="Times New Roman" w:cs="Calibri" w:cstheme="minorHAnsi"/>
                <w:kern w:val="0"/>
                <w:sz w:val="18"/>
                <w:szCs w:val="18"/>
                <w:lang w:val="pl-PL" w:eastAsia="pl-PL" w:bidi="ar-SA"/>
              </w:rPr>
              <w:t>ZIT-WL-6</w:t>
            </w:r>
          </w:p>
        </w:tc>
        <w:tc>
          <w:tcPr>
            <w:tcW w:w="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CP1</w:t>
            </w:r>
          </w:p>
        </w:tc>
        <w:tc>
          <w:tcPr>
            <w:tcW w:w="715"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1(iii)</w:t>
            </w:r>
          </w:p>
        </w:tc>
        <w:tc>
          <w:tcPr>
            <w:tcW w:w="1844" w:type="dxa"/>
            <w:tcBorders/>
            <w:shd w:color="auto" w:fill="auto" w:val="clea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Wsparcie infrastruktury biznesowej, w tym m.in. powstawania i rozwoju inkubatorów przedsiębiorczości, ośrodków wspierających przedsiębiorczość.</w:t>
            </w:r>
          </w:p>
        </w:tc>
        <w:tc>
          <w:tcPr>
            <w:tcW w:w="1984" w:type="dxa"/>
            <w:tcBorders/>
          </w:tcPr>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Gmina Lubień Kujawski</w:t>
            </w:r>
          </w:p>
        </w:tc>
        <w:tc>
          <w:tcPr>
            <w:tcW w:w="1701"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Sieć Włocławskiego Centrum Biznesu</w:t>
            </w:r>
          </w:p>
        </w:tc>
        <w:tc>
          <w:tcPr>
            <w:tcW w:w="991"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w:t>
              <w:br/>
              <w:t>II kw. 2025</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tc>
        <w:tc>
          <w:tcPr>
            <w:tcW w:w="1560" w:type="dxa"/>
            <w:tcBorders/>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38 236,00</w:t>
            </w:r>
          </w:p>
        </w:tc>
        <w:tc>
          <w:tcPr>
            <w:tcW w:w="708" w:type="dxa"/>
            <w:tcBorders>
              <w:top w:val="nil"/>
              <w:bottom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EFRR</w:t>
            </w:r>
          </w:p>
        </w:tc>
        <w:tc>
          <w:tcPr>
            <w:tcW w:w="1560" w:type="dxa"/>
            <w:tcBorders>
              <w:top w:val="nil"/>
              <w:bottom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38 236,00</w:t>
            </w:r>
          </w:p>
        </w:tc>
        <w:tc>
          <w:tcPr>
            <w:tcW w:w="1558" w:type="dxa"/>
            <w:tcBorders>
              <w:top w:val="nil"/>
              <w:bottom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32 500,00</w:t>
            </w:r>
          </w:p>
        </w:tc>
        <w:tc>
          <w:tcPr>
            <w:tcW w:w="1561"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5 736,00</w:t>
            </w:r>
          </w:p>
        </w:tc>
        <w:tc>
          <w:tcPr>
            <w:tcW w:w="3113" w:type="dxa"/>
            <w:tcBorders/>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Przedsiębiorstwa objęte wsparciem (w tym: mikro, małe średnie, duże) – 3 przedsiębiorstwa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małych przedsiębiorstw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mikroprzedsiębiorstw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średnich przedsiębiorstw – 3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Inwestycje prywatne uzupełniające wsparcie publiczne (w tym: dotacje, instrumenty finansowe) – 500 000 EUR</w:t>
            </w:r>
          </w:p>
        </w:tc>
      </w:tr>
      <w:tr>
        <w:trPr>
          <w:trHeight w:val="850" w:hRule="atLeast"/>
        </w:trPr>
        <w:tc>
          <w:tcPr>
            <w:tcW w:w="993" w:type="dxa"/>
            <w:tcBorders/>
            <w:shd w:color="auto" w:fill="auto" w:val="clear"/>
            <w:vAlign w:val="center"/>
          </w:tcPr>
          <w:p>
            <w:pPr>
              <w:pStyle w:val="Normal"/>
              <w:widowControl/>
              <w:spacing w:before="0" w:after="160"/>
              <w:ind w:left="-546" w:firstLine="546"/>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w:t>
            </w:r>
          </w:p>
        </w:tc>
        <w:tc>
          <w:tcPr>
            <w:tcW w:w="560"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CP1</w:t>
            </w:r>
          </w:p>
        </w:tc>
        <w:tc>
          <w:tcPr>
            <w:tcW w:w="715"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1(iii)</w:t>
            </w:r>
          </w:p>
        </w:tc>
        <w:tc>
          <w:tcPr>
            <w:tcW w:w="1844" w:type="dxa"/>
            <w:tcBorders/>
            <w:shd w:color="auto" w:fill="auto" w:val="clear"/>
          </w:tcPr>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left"/>
              <w:rPr>
                <w:rFonts w:cs="Calibri" w:cstheme="minorHAnsi"/>
                <w:sz w:val="18"/>
                <w:szCs w:val="18"/>
              </w:rPr>
            </w:pPr>
            <w:r>
              <w:rPr>
                <w:rFonts w:eastAsia="Times New Roman" w:cs="Calibri" w:cstheme="minorHAnsi"/>
                <w:kern w:val="0"/>
                <w:sz w:val="18"/>
                <w:szCs w:val="18"/>
                <w:lang w:val="pl-PL" w:eastAsia="pl-PL" w:bidi="ar-SA"/>
              </w:rPr>
              <w:t>Wsparcie infrastruktury biznesowej, w tym m.in. powstawania i rozwoju inkubatorów przedsiębiorczości, ośrodków wspierających przedsiębiorczość.</w:t>
            </w:r>
          </w:p>
        </w:tc>
        <w:tc>
          <w:tcPr>
            <w:tcW w:w="1984" w:type="dxa"/>
            <w:tcBorders/>
          </w:tcPr>
          <w:p>
            <w:pPr>
              <w:pStyle w:val="Normal"/>
              <w:widowControl/>
              <w:spacing w:before="0" w:after="160"/>
              <w:jc w:val="left"/>
              <w:rPr>
                <w:sz w:val="18"/>
                <w:szCs w:val="18"/>
              </w:rPr>
            </w:pPr>
            <w:r>
              <w:rPr>
                <w:rFonts w:cs=""/>
                <w:kern w:val="0"/>
                <w:sz w:val="18"/>
                <w:szCs w:val="18"/>
                <w:lang w:val="pl-PL" w:eastAsia="en-US" w:bidi="ar-SA"/>
              </w:rPr>
            </w:r>
          </w:p>
          <w:p>
            <w:pPr>
              <w:pStyle w:val="Normal"/>
              <w:widowControl/>
              <w:spacing w:before="0" w:after="160"/>
              <w:jc w:val="left"/>
              <w:rPr>
                <w:sz w:val="18"/>
                <w:szCs w:val="18"/>
              </w:rPr>
            </w:pPr>
            <w:r>
              <w:rPr>
                <w:rFonts w:cs=""/>
                <w:kern w:val="0"/>
                <w:sz w:val="18"/>
                <w:szCs w:val="18"/>
                <w:lang w:val="pl-PL" w:eastAsia="en-US" w:bidi="ar-SA"/>
              </w:rPr>
            </w:r>
          </w:p>
          <w:p>
            <w:pPr>
              <w:pStyle w:val="Normal"/>
              <w:widowControl/>
              <w:spacing w:before="0" w:after="160"/>
              <w:jc w:val="left"/>
              <w:rPr>
                <w:sz w:val="18"/>
                <w:szCs w:val="18"/>
              </w:rPr>
            </w:pPr>
            <w:r>
              <w:rPr>
                <w:rFonts w:cs=""/>
                <w:kern w:val="0"/>
                <w:sz w:val="18"/>
                <w:szCs w:val="18"/>
                <w:lang w:val="pl-PL" w:eastAsia="en-US" w:bidi="ar-SA"/>
              </w:rPr>
            </w:r>
          </w:p>
          <w:p>
            <w:pPr>
              <w:pStyle w:val="Normal"/>
              <w:widowControl/>
              <w:spacing w:before="0" w:after="16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Miasto Włocławek</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cs=""/>
                <w:kern w:val="0"/>
                <w:sz w:val="18"/>
                <w:szCs w:val="18"/>
                <w:lang w:val="pl-PL" w:eastAsia="en-US" w:bidi="ar-SA"/>
              </w:rPr>
              <w:t>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w:t>
            </w:r>
          </w:p>
        </w:tc>
        <w:tc>
          <w:tcPr>
            <w:tcW w:w="991"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kw.2026-</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kw.2027</w:t>
            </w:r>
          </w:p>
        </w:tc>
        <w:tc>
          <w:tcPr>
            <w:tcW w:w="1560" w:type="dxa"/>
            <w:tcBorders/>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1 469 477,89</w:t>
            </w:r>
          </w:p>
        </w:tc>
        <w:tc>
          <w:tcPr>
            <w:tcW w:w="708"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1 469 477,89</w:t>
            </w:r>
          </w:p>
        </w:tc>
        <w:tc>
          <w:tcPr>
            <w:tcW w:w="1558"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1 249 056,21</w:t>
            </w:r>
          </w:p>
        </w:tc>
        <w:tc>
          <w:tcPr>
            <w:tcW w:w="1561" w:type="dxa"/>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220 421,68</w:t>
            </w:r>
          </w:p>
        </w:tc>
        <w:tc>
          <w:tcPr>
            <w:tcW w:w="3113" w:type="dxa"/>
            <w:tcBorders/>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Nowe przedsiębiorstwa objęte wsparciem – 10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Przedsiębiorstwa objęte wsparciem (w tym: mikro, małe, średnie, duże) – 70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Przedsiębiorstwa otrzymujące wsparcie niefinansowe – 70 szt.</w:t>
            </w:r>
          </w:p>
          <w:p>
            <w:pPr>
              <w:pStyle w:val="Normal"/>
              <w:widowControl/>
              <w:spacing w:lineRule="auto" w:line="276" w:before="0" w:after="0"/>
              <w:contextualSpacing/>
              <w:jc w:val="left"/>
              <w:rPr>
                <w:rFonts w:cs="Calibri" w:cstheme="minorHAnsi"/>
                <w:sz w:val="18"/>
                <w:szCs w:val="18"/>
              </w:rPr>
            </w:pPr>
            <w:r>
              <w:rPr>
                <w:rFonts w:cs="Calibri" w:cstheme="minorHAnsi"/>
                <w:kern w:val="0"/>
                <w:sz w:val="18"/>
                <w:szCs w:val="18"/>
                <w:lang w:val="pl-PL" w:eastAsia="en-US" w:bidi="ar-SA"/>
              </w:rPr>
              <w:t>Wytworzona zdolność inkubacji przedsiębiorstw – 10 szt.</w:t>
            </w:r>
          </w:p>
          <w:p>
            <w:pPr>
              <w:pStyle w:val="Normal"/>
              <w:widowControl/>
              <w:spacing w:lineRule="auto" w:line="276" w:before="0" w:after="0"/>
              <w:contextualSpacing/>
              <w:jc w:val="left"/>
              <w:rPr>
                <w:rFonts w:cs="Calibri" w:cstheme="minorHAnsi"/>
                <w:sz w:val="18"/>
                <w:szCs w:val="18"/>
              </w:rPr>
            </w:pPr>
            <w:r>
              <w:rPr>
                <w:rFonts w:cs="Calibri" w:cstheme="minorHAnsi"/>
                <w:kern w:val="0"/>
                <w:sz w:val="18"/>
                <w:szCs w:val="18"/>
                <w:lang w:val="pl-PL" w:eastAsia="en-US" w:bidi="ar-SA"/>
              </w:rPr>
              <w:t>Powierzchnia dostępna we wspartych inkubatorach przedsiębiorczości – 3197,00m</w:t>
            </w:r>
            <w:r>
              <w:rPr>
                <w:rFonts w:cs="Calibri" w:cstheme="minorHAnsi"/>
                <w:kern w:val="0"/>
                <w:sz w:val="18"/>
                <w:szCs w:val="18"/>
                <w:vertAlign w:val="superscript"/>
                <w:lang w:val="pl-PL" w:eastAsia="en-US" w:bidi="ar-SA"/>
              </w:rPr>
              <w:t>2</w:t>
            </w:r>
          </w:p>
          <w:p>
            <w:pPr>
              <w:pStyle w:val="Normal"/>
              <w:widowControl/>
              <w:spacing w:lineRule="auto" w:line="276" w:before="0" w:after="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lineRule="auto" w:line="276" w:before="0" w:after="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małych przedsiębiorstw – 10 szt.</w:t>
            </w:r>
          </w:p>
          <w:p>
            <w:pPr>
              <w:pStyle w:val="Normal"/>
              <w:widowControl/>
              <w:spacing w:lineRule="auto" w:line="276" w:before="0" w:after="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mikroprzedsiębiorstw – 40 szt.</w:t>
            </w:r>
          </w:p>
          <w:p>
            <w:pPr>
              <w:pStyle w:val="Normal"/>
              <w:widowControl/>
              <w:spacing w:lineRule="auto" w:line="276" w:before="0" w:after="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średnich przedsiębiorstw -10 szt.</w:t>
            </w:r>
          </w:p>
          <w:p>
            <w:pPr>
              <w:pStyle w:val="Normal"/>
              <w:widowControl/>
              <w:spacing w:lineRule="auto" w:line="276" w:before="0" w:after="0"/>
              <w:contextualSpacing/>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lineRule="auto" w:line="276" w:before="0" w:after="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MŚP korzystające z usług inkubatora przedsiębiorczości po jego utworzeniu – 10 szt./rok</w:t>
            </w:r>
          </w:p>
        </w:tc>
      </w:tr>
      <w:tr>
        <w:trPr>
          <w:trHeight w:val="557" w:hRule="atLeast"/>
        </w:trPr>
        <w:tc>
          <w:tcPr>
            <w:tcW w:w="12615" w:type="dxa"/>
            <w:gridSpan w:val="10"/>
            <w:tcBorders/>
            <w:shd w:color="auto" w:fill="75B4F3" w:val="clear"/>
            <w:vAlign w:val="center"/>
          </w:tcPr>
          <w:p>
            <w:pPr>
              <w:pStyle w:val="Normal"/>
              <w:widowControl/>
              <w:spacing w:before="0" w:after="160"/>
              <w:jc w:val="center"/>
              <w:rPr>
                <w:rFonts w:cs="Calibri" w:cstheme="minorHAnsi"/>
                <w:b/>
                <w:bCs/>
              </w:rPr>
            </w:pPr>
            <w:r>
              <w:rPr>
                <w:rFonts w:cs="Calibri" w:cstheme="minorHAnsi"/>
                <w:b/>
                <w:bCs/>
                <w:kern w:val="0"/>
                <w:sz w:val="22"/>
                <w:szCs w:val="22"/>
                <w:lang w:val="pl-PL" w:eastAsia="en-US" w:bidi="ar-SA"/>
              </w:rPr>
              <w:t>Razem CP1</w:t>
            </w:r>
          </w:p>
        </w:tc>
        <w:tc>
          <w:tcPr>
            <w:tcW w:w="1560" w:type="dxa"/>
            <w:tcBorders>
              <w:top w:val="nil"/>
            </w:tcBorders>
            <w:shd w:color="auto" w:fill="75B4F3" w:val="clear"/>
            <w:vAlign w:val="center"/>
          </w:tcPr>
          <w:p>
            <w:pPr>
              <w:pStyle w:val="Normal"/>
              <w:widowControl/>
              <w:spacing w:before="0" w:after="160"/>
              <w:jc w:val="center"/>
              <w:rPr>
                <w:rFonts w:eastAsia="Times New Roman" w:cs="Calibri" w:cstheme="minorHAnsi"/>
                <w:lang w:eastAsia="pl-PL"/>
              </w:rPr>
            </w:pPr>
            <w:r>
              <w:rPr>
                <w:rFonts w:eastAsia="Times New Roman" w:cs="Calibri" w:cstheme="minorHAnsi"/>
                <w:b/>
                <w:bCs/>
                <w:kern w:val="0"/>
                <w:sz w:val="22"/>
                <w:szCs w:val="22"/>
                <w:lang w:val="pl-PL" w:eastAsia="pl-PL" w:bidi="ar-SA"/>
              </w:rPr>
              <w:t>1 724 243,23</w:t>
            </w:r>
          </w:p>
        </w:tc>
        <w:tc>
          <w:tcPr>
            <w:tcW w:w="708" w:type="dxa"/>
            <w:tcBorders>
              <w:top w:val="nil"/>
            </w:tcBorders>
            <w:shd w:color="auto" w:fill="75B4F3" w:val="clear"/>
            <w:vAlign w:val="center"/>
          </w:tcPr>
          <w:p>
            <w:pPr>
              <w:pStyle w:val="Normal"/>
              <w:widowControl/>
              <w:spacing w:before="0" w:after="160"/>
              <w:jc w:val="center"/>
              <w:rPr>
                <w:rFonts w:eastAsia="Times New Roman" w:cs="Calibri" w:cstheme="minorHAnsi"/>
                <w:lang w:eastAsia="pl-PL"/>
              </w:rPr>
            </w:pPr>
            <w:r>
              <w:rPr>
                <w:rFonts w:eastAsia="Times New Roman" w:cs="Calibri" w:cstheme="minorHAnsi"/>
                <w:kern w:val="0"/>
                <w:sz w:val="22"/>
                <w:szCs w:val="22"/>
                <w:lang w:val="pl-PL" w:eastAsia="pl-PL" w:bidi="ar-SA"/>
              </w:rPr>
            </w:r>
          </w:p>
        </w:tc>
        <w:tc>
          <w:tcPr>
            <w:tcW w:w="1560" w:type="dxa"/>
            <w:tcBorders>
              <w:top w:val="nil"/>
            </w:tcBorders>
            <w:shd w:color="auto" w:fill="75B4F3" w:val="clear"/>
            <w:vAlign w:val="center"/>
          </w:tcPr>
          <w:p>
            <w:pPr>
              <w:pStyle w:val="Normal"/>
              <w:widowControl/>
              <w:spacing w:before="0" w:after="160"/>
              <w:jc w:val="center"/>
              <w:rPr>
                <w:rFonts w:eastAsia="Times New Roman" w:cs="Calibri" w:cstheme="minorHAnsi"/>
                <w:lang w:eastAsia="pl-PL"/>
              </w:rPr>
            </w:pPr>
            <w:r>
              <w:rPr>
                <w:rFonts w:eastAsia="Times New Roman" w:cs="Calibri" w:cstheme="minorHAnsi"/>
                <w:b/>
                <w:bCs/>
                <w:kern w:val="0"/>
                <w:sz w:val="22"/>
                <w:szCs w:val="22"/>
                <w:lang w:val="pl-PL" w:eastAsia="pl-PL" w:bidi="ar-SA"/>
              </w:rPr>
              <w:t>1 724 243,23</w:t>
            </w:r>
          </w:p>
        </w:tc>
        <w:tc>
          <w:tcPr>
            <w:tcW w:w="1558" w:type="dxa"/>
            <w:tcBorders>
              <w:top w:val="nil"/>
            </w:tcBorders>
            <w:shd w:color="auto" w:fill="75B4F3" w:val="clear"/>
            <w:vAlign w:val="center"/>
          </w:tcPr>
          <w:p>
            <w:pPr>
              <w:pStyle w:val="Normal"/>
              <w:widowControl/>
              <w:spacing w:before="0" w:after="160"/>
              <w:jc w:val="center"/>
              <w:rPr>
                <w:rFonts w:eastAsia="Times New Roman" w:cs="Calibri" w:cstheme="minorHAnsi"/>
                <w:lang w:eastAsia="pl-PL"/>
              </w:rPr>
            </w:pPr>
            <w:r>
              <w:rPr>
                <w:rFonts w:eastAsia="Times New Roman" w:cs="Calibri" w:cstheme="minorHAnsi"/>
                <w:b/>
                <w:bCs/>
                <w:kern w:val="0"/>
                <w:sz w:val="22"/>
                <w:szCs w:val="22"/>
                <w:lang w:val="pl-PL" w:eastAsia="pl-PL" w:bidi="ar-SA"/>
              </w:rPr>
              <w:t>1 442 856,21</w:t>
            </w:r>
          </w:p>
        </w:tc>
        <w:tc>
          <w:tcPr>
            <w:tcW w:w="1561" w:type="dxa"/>
            <w:tcBorders>
              <w:top w:val="nil"/>
            </w:tcBorders>
            <w:shd w:color="auto" w:fill="75B4F3" w:val="clear"/>
            <w:vAlign w:val="center"/>
          </w:tcPr>
          <w:p>
            <w:pPr>
              <w:pStyle w:val="Normal"/>
              <w:widowControl/>
              <w:spacing w:before="0" w:after="160"/>
              <w:jc w:val="center"/>
              <w:rPr>
                <w:rFonts w:cs="Calibri" w:cstheme="minorHAnsi"/>
              </w:rPr>
            </w:pPr>
            <w:r>
              <w:rPr>
                <w:rFonts w:eastAsia="Times New Roman" w:cs="Calibri" w:cstheme="minorHAnsi"/>
                <w:b/>
                <w:bCs/>
                <w:kern w:val="0"/>
                <w:sz w:val="22"/>
                <w:szCs w:val="22"/>
                <w:lang w:val="pl-PL" w:eastAsia="pl-PL" w:bidi="ar-SA"/>
              </w:rPr>
              <w:t>281 387,02</w:t>
            </w:r>
          </w:p>
        </w:tc>
        <w:tc>
          <w:tcPr>
            <w:tcW w:w="3113" w:type="dxa"/>
            <w:tcBorders>
              <w:top w:val="nil"/>
            </w:tcBorders>
            <w:shd w:color="auto" w:fill="75B4F3" w:val="clear"/>
            <w:vAlign w:val="center"/>
          </w:tcPr>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160"/>
              <w:jc w:val="center"/>
              <w:rPr>
                <w:rFonts w:cs="Calibri" w:cstheme="minorHAnsi"/>
                <w:b/>
                <w:bCs/>
                <w:sz w:val="18"/>
                <w:szCs w:val="18"/>
              </w:rPr>
            </w:pPr>
            <w:bookmarkStart w:id="171" w:name="_Hlk141251949"/>
            <w:r>
              <w:rPr>
                <w:rFonts w:eastAsia="Times New Roman" w:cs="Calibri" w:cstheme="minorHAnsi"/>
                <w:kern w:val="0"/>
                <w:sz w:val="18"/>
                <w:szCs w:val="18"/>
                <w:lang w:val="pl-PL" w:eastAsia="pl-PL" w:bidi="ar-SA"/>
              </w:rPr>
              <w:t>ZIT-WL-8</w:t>
            </w:r>
          </w:p>
        </w:tc>
        <w:tc>
          <w:tcPr>
            <w:tcW w:w="560"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2(viii)</w:t>
            </w:r>
          </w:p>
        </w:tc>
        <w:tc>
          <w:tcPr>
            <w:tcW w:w="1844" w:type="dxa"/>
            <w:tcBorders/>
            <w:shd w:color="auto" w:fill="FFFFFF" w:themeFill="background1"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Projekty z zakresu rozwoju i usprawnienia systemu transportu miejskiego, w tym węzły zintegrowane i infrastruktura przystankowa</w:t>
            </w:r>
          </w:p>
        </w:tc>
        <w:tc>
          <w:tcPr>
            <w:tcW w:w="1984" w:type="dxa"/>
            <w:tcBorders/>
            <w:shd w:color="auto" w:fill="FFFFFF" w:themeFill="background1" w:val="clear"/>
            <w:vAlign w:val="center"/>
          </w:tcPr>
          <w:p>
            <w:pPr>
              <w:pStyle w:val="Normal"/>
              <w:widowControl/>
              <w:spacing w:lineRule="auto" w:line="276" w:before="0" w:after="160"/>
              <w:jc w:val="both"/>
              <w:rPr>
                <w:rFonts w:cs="Calibri" w:cstheme="minorHAnsi"/>
                <w:color w:val="000000" w:themeColor="text1"/>
                <w:sz w:val="18"/>
                <w:szCs w:val="18"/>
              </w:rPr>
            </w:pPr>
            <w:r>
              <w:rPr>
                <w:rFonts w:cs=""/>
                <w:kern w:val="0"/>
                <w:sz w:val="18"/>
                <w:szCs w:val="18"/>
                <w:lang w:val="pl-PL" w:eastAsia="en-US" w:bidi="ar-SA"/>
              </w:rPr>
              <w:t>Wspieranie zrównoważonej mobilności miejskiej</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Poprawa funkcjonowania transportu zbiorowego w mieście Włocławek poprzez modernizację infrastruktury towarzyszącej transportowi zbiorowemu.</w:t>
            </w:r>
          </w:p>
        </w:tc>
        <w:tc>
          <w:tcPr>
            <w:tcW w:w="991"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kw.2026</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3 505 816,14</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3 505 816,14</w:t>
            </w:r>
          </w:p>
        </w:tc>
        <w:tc>
          <w:tcPr>
            <w:tcW w:w="1558"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2 979 943,72</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525 872,42</w:t>
            </w:r>
          </w:p>
        </w:tc>
        <w:tc>
          <w:tcPr>
            <w:tcW w:w="3113" w:type="dxa"/>
            <w:tcBorders>
              <w:top w:val="nil"/>
            </w:tcBorders>
            <w:shd w:color="auto" w:fill="auto"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Długość przebudowanych lub zmodernizowanych linii autobusowych – 683,45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111 000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Roczna liczba użytkowników nowego lub zmodernizowanego transportu publicznego – </w:t>
            </w:r>
            <w:r>
              <w:rPr>
                <w:rFonts w:eastAsia="Times New Roman" w:cs="Calibri" w:cstheme="minorHAnsi"/>
                <w:color w:val="000000" w:themeColor="text1"/>
                <w:kern w:val="0"/>
                <w:sz w:val="18"/>
                <w:szCs w:val="18"/>
                <w:lang w:val="pl-PL" w:eastAsia="pl-PL" w:bidi="ar-SA"/>
              </w:rPr>
              <w:t xml:space="preserve">8 016 453 </w:t>
            </w:r>
            <w:r>
              <w:rPr>
                <w:rFonts w:eastAsia="Times New Roman" w:cs="Calibri" w:cstheme="minorHAnsi"/>
                <w:kern w:val="0"/>
                <w:sz w:val="18"/>
                <w:szCs w:val="18"/>
                <w:lang w:val="pl-PL" w:eastAsia="pl-PL" w:bidi="ar-SA"/>
              </w:rPr>
              <w:t>użytkownicy/rok</w:t>
            </w:r>
          </w:p>
          <w:p>
            <w:pPr>
              <w:pStyle w:val="Normal"/>
              <w:widowControl/>
              <w:spacing w:before="0" w:after="0"/>
              <w:jc w:val="left"/>
              <w:rPr>
                <w:rFonts w:eastAsia="Times New Roman" w:cs="Calibri" w:cstheme="minorHAnsi"/>
                <w:sz w:val="18"/>
                <w:szCs w:val="18"/>
                <w:lang w:eastAsia="pl-PL"/>
              </w:rPr>
            </w:pPr>
            <w:bookmarkStart w:id="172" w:name="_Hlk141251949"/>
            <w:r>
              <w:rPr>
                <w:rFonts w:eastAsia="Times New Roman" w:cs="Calibri" w:cstheme="minorHAnsi"/>
                <w:kern w:val="0"/>
                <w:sz w:val="18"/>
                <w:szCs w:val="18"/>
                <w:lang w:val="pl-PL" w:eastAsia="pl-PL" w:bidi="ar-SA"/>
              </w:rPr>
              <w:t>Szacowana emisja gazów cieplarnianych – 494 tony równoważnika CO2/rok</w:t>
            </w:r>
            <w:bookmarkEnd w:id="172"/>
          </w:p>
        </w:tc>
      </w:tr>
      <w:tr>
        <w:trPr>
          <w:trHeight w:val="699" w:hRule="atLeast"/>
        </w:trPr>
        <w:tc>
          <w:tcPr>
            <w:tcW w:w="993"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ZIT-WL-9</w:t>
            </w:r>
          </w:p>
        </w:tc>
        <w:tc>
          <w:tcPr>
            <w:tcW w:w="560"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2(viii)</w:t>
            </w:r>
          </w:p>
        </w:tc>
        <w:tc>
          <w:tcPr>
            <w:tcW w:w="1844" w:type="dxa"/>
            <w:tcBorders/>
            <w:shd w:color="auto" w:fill="FFFFFF" w:themeFill="background1"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Infrastruktura przeznaczona dla rowerów ZIT/OPPT</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Wspieranie zrównoważonej mobilności miejskiej</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Budowa</w:t>
              <w:br/>
              <w:t xml:space="preserve"> i przebudowa dróg rowerowych na terenie miasta Włocławek</w:t>
            </w:r>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 kw. 2022- IV kw.2026</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5 264 005,04</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5 264 005,04</w:t>
            </w:r>
          </w:p>
        </w:tc>
        <w:tc>
          <w:tcPr>
            <w:tcW w:w="1558"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4 474 404,29</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789 600,75</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Wspierana infrastruktura rowerowa – 79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68 678 os.</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u w:val="single"/>
                <w:lang w:val="pl-PL" w:eastAsia="pl-PL" w:bidi="ar-SA"/>
              </w:rPr>
              <w:t>Wskaźnik rezultatu</w:t>
            </w:r>
            <w:r>
              <w:rPr>
                <w:rFonts w:eastAsia="Times New Roman" w:cs="Calibri" w:cstheme="minorHAnsi"/>
                <w:kern w:val="0"/>
                <w:sz w:val="18"/>
                <w:szCs w:val="18"/>
                <w:lang w:val="pl-PL" w:eastAsia="pl-PL" w:bidi="ar-SA"/>
              </w:rPr>
              <w: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Roczna liczba użytkowników infrastruktury rowerowej – 68 678 użytkownicy/rok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113,94</w:t>
            </w:r>
          </w:p>
        </w:tc>
      </w:tr>
      <w:tr>
        <w:trPr>
          <w:trHeight w:val="699" w:hRule="atLeast"/>
        </w:trPr>
        <w:tc>
          <w:tcPr>
            <w:tcW w:w="993"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ZIT-WL-10</w:t>
            </w:r>
          </w:p>
        </w:tc>
        <w:tc>
          <w:tcPr>
            <w:tcW w:w="560"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2(viii)</w:t>
            </w:r>
          </w:p>
        </w:tc>
        <w:tc>
          <w:tcPr>
            <w:tcW w:w="1844" w:type="dxa"/>
            <w:tcBorders/>
            <w:shd w:color="auto" w:fill="FFFFFF" w:themeFill="background1"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Tabor na potrzeby czystej komunikacji miejskiej *</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Wspieranie zrównoważonej mobilności miejskiej</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 xml:space="preserve">Tabor na potrzeby czystej komunikacji </w:t>
              <w:br/>
              <w:t>w mieście Włocławek</w:t>
            </w:r>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 kw.2024- IV kw. 2024</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7 414 378,42</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7 414 378,42</w:t>
            </w:r>
          </w:p>
        </w:tc>
        <w:tc>
          <w:tcPr>
            <w:tcW w:w="1558"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6 302 221,66</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1 112 156,76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zakupionych jednostek taboru pasażerskiego w publicznym transporcie zbiorowym komunikacji miejskiej i metropolitarnej – 11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111 000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Infrastruktura paliw alternatywnych (punkty tankowania/ładowania) – 11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Pojemność ekologicznego taboru do zbiorowego transportu publicznego – 75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43,4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Moc wykorzystana we wspartej infrastrukturze paliw alternatywnych – 100 KW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Roczna liczba użytkowników nowego lub zmodernizowanego transportu publicznego – 1 084 930 użytkownicy/rok</w:t>
            </w:r>
          </w:p>
        </w:tc>
      </w:tr>
      <w:tr>
        <w:trPr>
          <w:trHeight w:val="699" w:hRule="atLeast"/>
        </w:trPr>
        <w:tc>
          <w:tcPr>
            <w:tcW w:w="993" w:type="dxa"/>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ZIT-WL-11</w:t>
            </w:r>
          </w:p>
        </w:tc>
        <w:tc>
          <w:tcPr>
            <w:tcW w:w="560" w:type="dxa"/>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shd w:color="auto" w:fill="FFFFFF" w:themeFill="background1"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obiektów użyteczności publicznej wraz z audytem (wsparcie w ramach IF)</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Kowal</w:t>
            </w:r>
          </w:p>
        </w:tc>
        <w:tc>
          <w:tcPr>
            <w:tcW w:w="1701" w:type="dxa"/>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 xml:space="preserve">Kompleksowa modernizacja energetyczna budynku Szkoły Podstawowej </w:t>
              <w:br/>
              <w:t>w miejscowości Więsławice</w:t>
            </w:r>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II kw.2024- III kw.2025</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249 430,12</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249 430,12</w:t>
            </w:r>
          </w:p>
        </w:tc>
        <w:tc>
          <w:tcPr>
            <w:tcW w:w="1558" w:type="dxa"/>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122 220,76</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127 209,36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color w:val="FF0000"/>
                <w:sz w:val="18"/>
                <w:szCs w:val="18"/>
                <w:lang w:eastAsia="pl-PL"/>
              </w:rPr>
            </w:pPr>
            <w:r>
              <w:rPr>
                <w:rFonts w:eastAsia="Times New Roman" w:cs="Calibri" w:cstheme="minorHAnsi"/>
                <w:kern w:val="0"/>
                <w:sz w:val="18"/>
                <w:szCs w:val="18"/>
                <w:lang w:val="pl-PL" w:eastAsia="pl-PL" w:bidi="ar-SA"/>
              </w:rPr>
              <w:t>Budynki publiczne o udoskonalonej charakterystyce energetycznej – 294m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źródeł ciepła (innych niż indywidualne)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zdolność wytwarzania energii elektrycznej ze źródeł OZE – 0,1 MW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elektrycznej  OZE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Ludności objęta projektami w ramach strategii zintegrowanego rozwoju terytorialnego – 200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dostosowanych do potrzeb osób z niepełnosprawnościami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bookmarkStart w:id="173" w:name="_Hlk142024762"/>
            <w:r>
              <w:rPr>
                <w:rFonts w:eastAsia="Times New Roman" w:cs="Calibri" w:cstheme="minorHAnsi"/>
                <w:kern w:val="0"/>
                <w:sz w:val="18"/>
                <w:szCs w:val="18"/>
                <w:lang w:val="pl-PL" w:eastAsia="pl-PL" w:bidi="ar-SA"/>
              </w:rPr>
              <w:t>Roczne zużycie energii pierwotnej (w tym: w lokalach mieszkalnych, budynkach publicznych, przedsiębiorstwach, innych) – 21,792 MWh/rok</w:t>
            </w:r>
          </w:p>
          <w:p>
            <w:pPr>
              <w:pStyle w:val="Normal"/>
              <w:widowControl/>
              <w:spacing w:before="0" w:after="0"/>
              <w:jc w:val="left"/>
              <w:rPr>
                <w:rFonts w:eastAsia="Times New Roman" w:cs="Calibri" w:cstheme="minorHAnsi"/>
                <w:sz w:val="18"/>
                <w:szCs w:val="18"/>
                <w:lang w:eastAsia="pl-PL"/>
              </w:rPr>
            </w:pPr>
            <w:bookmarkStart w:id="174" w:name="_Hlk142024762"/>
            <w:r>
              <w:rPr>
                <w:rFonts w:eastAsia="Times New Roman" w:cs="Calibri" w:cstheme="minorHAnsi"/>
                <w:kern w:val="0"/>
                <w:sz w:val="18"/>
                <w:szCs w:val="18"/>
                <w:lang w:val="pl-PL" w:eastAsia="pl-PL" w:bidi="ar-SA"/>
              </w:rPr>
              <w:t>Szacowana emisja gazów cieplarnianych -</w:t>
            </w:r>
            <w:bookmarkEnd w:id="174"/>
            <w:r>
              <w:rPr>
                <w:rFonts w:eastAsia="Times New Roman" w:cs="Calibri" w:cstheme="minorHAnsi"/>
                <w:kern w:val="0"/>
                <w:sz w:val="18"/>
                <w:szCs w:val="18"/>
                <w:lang w:val="pl-PL" w:eastAsia="pl-PL" w:bidi="ar-SA"/>
              </w:rPr>
              <w:t>110,06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budynkach publicznych – 21,792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MP10 – 0,47704 Mg/rok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2,5 – 0,36955 Mg/rok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wytworzonej energii elektrycznej ze źródeł OZE – 11 MW/rok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ZIT-WL-12</w:t>
            </w:r>
          </w:p>
        </w:tc>
        <w:tc>
          <w:tcPr>
            <w:tcW w:w="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2(i)</w:t>
            </w:r>
          </w:p>
        </w:tc>
        <w:tc>
          <w:tcPr>
            <w:tcW w:w="184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Kompleksowa modernizacja energetyczna obiektów użyteczności publicznej wraz z audytem (wsparcie w ramach IF)</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Powiat Włocławski</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 xml:space="preserve">Termomodernizacja budynku Zespołu Szkół im. Marii Grodzickiej </w:t>
              <w:br/>
              <w:t>w Lubrańcu Marysinie</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 2023-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868 773,47</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868 773,47</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425 699,00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443 074,47</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Budynki publiczne o udoskonalonej charakterystyce energetycznej – 1180m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Liczba zmodernizowanych energetycznie budynków – 1 szt.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220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Wspierane strategie zintegrowanego rozwoju terytorialnego – 1 szt. </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11,5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9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budynkach publicznych – 11,5 MWh/rok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bookmarkStart w:id="175" w:name="_Hlk142024971"/>
            <w:r>
              <w:rPr>
                <w:rFonts w:eastAsia="Times New Roman" w:cs="Calibri" w:cstheme="minorHAnsi"/>
                <w:kern w:val="0"/>
                <w:sz w:val="18"/>
                <w:szCs w:val="18"/>
                <w:lang w:val="pl-PL" w:eastAsia="pl-PL" w:bidi="ar-SA"/>
              </w:rPr>
              <w:t>ZIT-WL-13</w:t>
            </w:r>
            <w:bookmarkEnd w:id="175"/>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shd w:color="auto" w:fill="FFFFFF" w:themeFill="background1"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obiektów użyteczności publicznej wraz z audytem (wsparcie w ramach IF)</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Izbica Kujawska</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bookmarkStart w:id="176" w:name="_Hlk142024989"/>
            <w:r>
              <w:rPr>
                <w:rFonts w:eastAsia="Times New Roman" w:cs="Calibri" w:cstheme="minorHAnsi"/>
                <w:kern w:val="0"/>
                <w:sz w:val="18"/>
                <w:szCs w:val="18"/>
                <w:lang w:val="pl-PL" w:eastAsia="pl-PL" w:bidi="ar-SA"/>
              </w:rPr>
              <w:t>Termomodernizacja budynków użyteczności publicznej na terenie Gminy Izbica Kujawska</w:t>
            </w:r>
            <w:bookmarkEnd w:id="176"/>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200 439,00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162 959,18</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79 850,00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120 589,00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Wskaźniki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Budynki publiczne o udoskonalonej charakterystyce energetycznej – 388m</w:t>
            </w:r>
            <w:r>
              <w:rPr>
                <w:rFonts w:eastAsia="Times New Roman" w:cs="Calibri" w:cstheme="minorHAnsi"/>
                <w:kern w:val="0"/>
                <w:sz w:val="18"/>
                <w:szCs w:val="18"/>
                <w:vertAlign w:val="superscript"/>
                <w:lang w:val="pl-PL" w:eastAsia="pl-PL" w:bidi="ar-SA"/>
              </w:rPr>
              <w:t>2</w:t>
            </w:r>
          </w:p>
          <w:p>
            <w:pPr>
              <w:pStyle w:val="Normal"/>
              <w:widowControl/>
              <w:spacing w:before="0" w:after="0"/>
              <w:contextualSpacing/>
              <w:jc w:val="left"/>
              <w:rPr>
                <w:rFonts w:cs="Calibri" w:cstheme="minorHAnsi"/>
                <w:sz w:val="18"/>
                <w:szCs w:val="18"/>
              </w:rPr>
            </w:pPr>
            <w:r>
              <w:rPr>
                <w:rFonts w:cs="Calibri" w:cstheme="minorHAnsi"/>
                <w:kern w:val="0"/>
                <w:sz w:val="18"/>
                <w:szCs w:val="18"/>
                <w:lang w:val="pl-PL" w:eastAsia="en-US" w:bidi="ar-SA"/>
              </w:rPr>
              <w:t>Ludność objęta projektami w ramach strategii zintegrowanego rozwoju terytorialnego – 7 500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bookmarkStart w:id="177" w:name="_Hlk142025024"/>
            <w:r>
              <w:rPr>
                <w:rFonts w:eastAsia="Calibri" w:cs="Calibri" w:cstheme="minorHAnsi"/>
                <w:kern w:val="0"/>
                <w:sz w:val="18"/>
                <w:szCs w:val="18"/>
                <w:lang w:val="pl-PL" w:eastAsia="en-US" w:bidi="ar-SA"/>
              </w:rPr>
              <w:t xml:space="preserve">Szacowana emisja gazów cieplarnianych - </w:t>
            </w:r>
            <w:r>
              <w:rPr>
                <w:rFonts w:cs="Calibri" w:cstheme="minorHAnsi"/>
                <w:kern w:val="0"/>
                <w:sz w:val="18"/>
                <w:szCs w:val="18"/>
                <w:lang w:val="pl-PL" w:eastAsia="en-US" w:bidi="ar-SA"/>
              </w:rPr>
              <w:t xml:space="preserve"> tony równoważnika – 41,09 CO2/rok</w:t>
            </w:r>
          </w:p>
          <w:p>
            <w:pPr>
              <w:pStyle w:val="Normal"/>
              <w:widowControl/>
              <w:spacing w:before="0" w:after="0"/>
              <w:jc w:val="left"/>
              <w:rPr>
                <w:rFonts w:cs="Calibri" w:cstheme="minorHAnsi"/>
                <w:sz w:val="18"/>
                <w:szCs w:val="18"/>
              </w:rPr>
            </w:pPr>
            <w:bookmarkStart w:id="178" w:name="_Hlk142025024"/>
            <w:r>
              <w:rPr>
                <w:rFonts w:eastAsia="Times New Roman" w:cs="Calibri" w:cstheme="minorHAnsi"/>
                <w:kern w:val="0"/>
                <w:sz w:val="18"/>
                <w:szCs w:val="18"/>
                <w:lang w:val="pl-PL" w:eastAsia="pl-PL" w:bidi="ar-SA"/>
              </w:rPr>
              <w:t xml:space="preserve">Roczne zużycie energii pierwotnej (w tym: w lokalach mieszkalnych, budynkach publicznych, przedsiębiorstwach, innych) – </w:t>
            </w:r>
            <w:bookmarkEnd w:id="178"/>
            <w:r>
              <w:rPr>
                <w:rFonts w:eastAsia="Times New Roman" w:cs="Calibri" w:cstheme="minorHAnsi"/>
                <w:kern w:val="0"/>
                <w:sz w:val="18"/>
                <w:szCs w:val="18"/>
                <w:lang w:val="pl-PL" w:eastAsia="pl-PL" w:bidi="ar-SA"/>
              </w:rPr>
              <w:t>92,76</w:t>
            </w:r>
            <w:r>
              <w:rPr>
                <w:rFonts w:cs="Calibri" w:cstheme="minorHAnsi"/>
                <w:kern w:val="0"/>
                <w:sz w:val="18"/>
                <w:szCs w:val="18"/>
                <w:lang w:val="pl-PL" w:eastAsia="en-US" w:bidi="ar-SA"/>
              </w:rPr>
              <w:t xml:space="preserve"> MWh/rok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Roczne zużycie energii pierwotnej w budynkach publicznych – 92,76 MWh/rok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Zmniejszenie emisji pyłu PM 10 – 0,0004 Mg/rok</w:t>
            </w:r>
          </w:p>
          <w:p>
            <w:pPr>
              <w:pStyle w:val="Normal"/>
              <w:widowControl/>
              <w:spacing w:before="0" w:after="0"/>
              <w:jc w:val="left"/>
              <w:rPr>
                <w:rFonts w:eastAsia="Times New Roman" w:cs="Calibri" w:cstheme="minorHAnsi"/>
                <w:sz w:val="18"/>
                <w:szCs w:val="18"/>
                <w:lang w:eastAsia="pl-PL"/>
              </w:rPr>
            </w:pPr>
            <w:r>
              <w:rPr>
                <w:rFonts w:cs="Calibri" w:cstheme="minorHAnsi"/>
                <w:kern w:val="0"/>
                <w:sz w:val="18"/>
                <w:szCs w:val="18"/>
                <w:lang w:val="pl-PL" w:eastAsia="en-US" w:bidi="ar-SA"/>
              </w:rPr>
              <w:t>Zmniejszenie emisji pyłu PM 2,5 – 0,0004 Mg/rok</w:t>
            </w:r>
          </w:p>
        </w:tc>
      </w:tr>
      <w:tr>
        <w:trPr>
          <w:trHeight w:val="1118" w:hRule="atLeast"/>
        </w:trPr>
        <w:tc>
          <w:tcPr>
            <w:tcW w:w="993"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ZIT-WL-14</w:t>
            </w:r>
          </w:p>
        </w:tc>
        <w:tc>
          <w:tcPr>
            <w:tcW w:w="560"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shd w:color="auto" w:fill="FFFFFF" w:themeFill="background1"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obiektów użyteczności publicznej wraz z audytem (wsparcie w ramach IF)</w:t>
            </w:r>
          </w:p>
        </w:tc>
        <w:tc>
          <w:tcPr>
            <w:tcW w:w="1984" w:type="dxa"/>
            <w:tcBorders/>
            <w:shd w:color="auto" w:fill="FFFFFF" w:themeFill="background1" w:val="clear"/>
            <w:vAlign w:val="center"/>
          </w:tcPr>
          <w:p>
            <w:pPr>
              <w:pStyle w:val="Normal"/>
              <w:widowControl/>
              <w:spacing w:lineRule="auto" w:line="276" w:before="0" w:after="16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Lubraniec</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Kompleksowa termomodernizacja budynków użyteczności publicznej na terenie gminy Lubraniec</w:t>
            </w:r>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332 573,49</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332 573,49</w:t>
            </w:r>
          </w:p>
        </w:tc>
        <w:tc>
          <w:tcPr>
            <w:tcW w:w="1558"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162 961,01</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169 612,48</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Budynki publiczne o udoskonalonej charakterystyce energetycznej – 990m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Liczba zmodernizowanych energetycznie budynków – 2 szt.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zdolność wytwarzania energii elektrycznej ze źródeł OZE – 0,02 MW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elektrycznej z OZE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źródeł ciepła (innych niż indywidualne)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100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60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wytworzonej energii elektrycznej ze źródeł OZE – 20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2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budynkach publicznych – 2MWh/rok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10 – 0,5 Mg/rok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2,5 – 0,5 Mg/rok</w:t>
            </w:r>
          </w:p>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ZIT-WL-15</w:t>
            </w:r>
          </w:p>
        </w:tc>
        <w:tc>
          <w:tcPr>
            <w:tcW w:w="560"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shd w:color="auto" w:fill="FFFFFF" w:themeFill="background1" w:val="clear"/>
            <w:vAlign w:val="center"/>
          </w:tcPr>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obiektów użyteczności publicznej wraz z audytem (wsparcie w ramach IF)</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bookmarkStart w:id="179" w:name="_Hlk142025339"/>
            <w:r>
              <w:rPr>
                <w:rFonts w:eastAsia="Times New Roman" w:cs="Calibri" w:cstheme="minorHAnsi"/>
                <w:kern w:val="0"/>
                <w:sz w:val="18"/>
                <w:szCs w:val="18"/>
                <w:lang w:val="pl-PL" w:eastAsia="pl-PL" w:bidi="ar-SA"/>
              </w:rPr>
              <w:t>Termomodernizacja budynków użyteczności publicznej na terenie miasta Włocławek</w:t>
            </w:r>
            <w:bookmarkEnd w:id="179"/>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 kw. 2024 – IV kw. 2027</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2 448 997,60</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2 448 997,60</w:t>
            </w:r>
          </w:p>
        </w:tc>
        <w:tc>
          <w:tcPr>
            <w:tcW w:w="1558" w:type="dxa"/>
            <w:tcBorders>
              <w:top w:val="nil"/>
            </w:tcBorders>
            <w:shd w:color="auto" w:fill="auto"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977 766,07</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1 471 231,53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Budynki publiczne o udoskonalonej charakterystyce energetycznej – 15377,8m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energetycznie budynków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contextualSpacing/>
              <w:jc w:val="left"/>
              <w:rPr>
                <w:rFonts w:cs="Calibri" w:cstheme="minorHAnsi"/>
                <w:sz w:val="18"/>
                <w:szCs w:val="18"/>
              </w:rPr>
            </w:pPr>
            <w:r>
              <w:rPr>
                <w:rFonts w:cs="Calibri" w:cstheme="minorHAnsi"/>
                <w:kern w:val="0"/>
                <w:sz w:val="18"/>
                <w:szCs w:val="18"/>
                <w:lang w:val="pl-PL" w:eastAsia="en-US" w:bidi="ar-SA"/>
              </w:rPr>
              <w:t>Liczba audytów energetycznych objętych wsparciem w ramach dotacji – 2 szt.</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1551 osób</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jednostek wytwarzania energii elektrycznej i cieplnej z OZE – 4szt.</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nowych/zmodernizowanych punktów świetlnych – 3418 szt.</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elektrycznej z OZE – 2 szt.</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Dodatkowa zdolność wytwarzania energii cieplnej ze źródeł OZE – 0,39840 MW </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Dodatkowa zdolność wytwarzania energii elektrycznej ze źródeł OZE – 0,10000 MW </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zdolność wytwarzania energii odnawialnej (w tym: energii elektrycznej, energii cieplnej) – 0,49840 MW</w:t>
            </w:r>
          </w:p>
          <w:p>
            <w:pPr>
              <w:pStyle w:val="Normal"/>
              <w:widowControl/>
              <w:tabs>
                <w:tab w:val="clear" w:pos="680"/>
                <w:tab w:val="left" w:pos="164" w:leader="none"/>
                <w:tab w:val="left" w:pos="306" w:leader="none"/>
              </w:tabs>
              <w:spacing w:before="0" w:after="160"/>
              <w:contextualSpacing/>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tabs>
                <w:tab w:val="clear" w:pos="680"/>
                <w:tab w:val="left" w:pos="164" w:leader="none"/>
                <w:tab w:val="left" w:pos="306" w:leader="none"/>
              </w:tabs>
              <w:spacing w:before="0" w:after="160"/>
              <w:contextualSpacing/>
              <w:jc w:val="left"/>
              <w:rPr>
                <w:rFonts w:cs="Calibri" w:cstheme="minorHAnsi"/>
                <w:sz w:val="18"/>
                <w:szCs w:val="18"/>
              </w:rPr>
            </w:pPr>
            <w:bookmarkStart w:id="180" w:name="_Hlk142025398"/>
            <w:r>
              <w:rPr>
                <w:rFonts w:eastAsia="Times New Roman" w:cs="Calibri" w:cstheme="minorHAnsi"/>
                <w:kern w:val="0"/>
                <w:sz w:val="18"/>
                <w:szCs w:val="18"/>
                <w:lang w:val="pl-PL" w:eastAsia="pl-PL" w:bidi="ar-SA"/>
              </w:rPr>
              <w:t xml:space="preserve">Roczne zużycie energii pierwotnej (w tym: w lokalach mieszkalnych, budynkach publicznych, przedsiębiorstwach, innych) – 1510,11 </w:t>
            </w:r>
            <w:r>
              <w:rPr>
                <w:rFonts w:cs="Calibri" w:cstheme="minorHAnsi"/>
                <w:kern w:val="0"/>
                <w:sz w:val="18"/>
                <w:szCs w:val="18"/>
                <w:lang w:val="pl-PL" w:eastAsia="en-US" w:bidi="ar-SA"/>
              </w:rPr>
              <w:t>MWh/rok</w:t>
            </w:r>
          </w:p>
          <w:p>
            <w:pPr>
              <w:pStyle w:val="Normal"/>
              <w:widowControl/>
              <w:spacing w:before="0" w:after="0"/>
              <w:jc w:val="left"/>
              <w:rPr>
                <w:rFonts w:cs="Calibri" w:cstheme="minorHAnsi"/>
                <w:sz w:val="18"/>
                <w:szCs w:val="18"/>
              </w:rPr>
            </w:pPr>
            <w:bookmarkStart w:id="181" w:name="_Hlk142025398"/>
            <w:r>
              <w:rPr>
                <w:rFonts w:eastAsia="Times New Roman" w:cs="Calibri" w:cstheme="minorHAnsi"/>
                <w:kern w:val="0"/>
                <w:sz w:val="18"/>
                <w:szCs w:val="18"/>
                <w:lang w:val="pl-PL" w:eastAsia="pl-PL" w:bidi="ar-SA"/>
              </w:rPr>
              <w:t xml:space="preserve">Szacowana emisja gazów cieplarnianych – </w:t>
            </w:r>
            <w:bookmarkEnd w:id="181"/>
            <w:r>
              <w:rPr>
                <w:rFonts w:eastAsia="Times New Roman" w:cs="Calibri" w:cstheme="minorHAnsi"/>
                <w:kern w:val="0"/>
                <w:sz w:val="18"/>
                <w:szCs w:val="18"/>
                <w:lang w:val="pl-PL" w:eastAsia="pl-PL" w:bidi="ar-SA"/>
              </w:rPr>
              <w:t>362,44</w:t>
            </w:r>
            <w:r>
              <w:rPr>
                <w:rFonts w:cs="Calibri" w:cstheme="minorHAnsi"/>
                <w:kern w:val="0"/>
                <w:sz w:val="18"/>
                <w:szCs w:val="18"/>
                <w:lang w:val="pl-PL" w:eastAsia="en-US" w:bidi="ar-SA"/>
              </w:rPr>
              <w:t xml:space="preserve"> tony równoważnika CO2/rok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Ilość zaoszczędzonej energii cieplnej – 1299,17 MWh/rok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Ilość zaoszczędzonej energii elektrycznej – 32,41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budynkach publicznych – 1510,11MWh/rok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wytworzonej energii elektrycznej ze źródeł OZE – 74,82 MWh/rok</w:t>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Ilość zaoszczędzonej energii elektrycznej i cieplnej – 1331,58MWh/rok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tc>
      </w:tr>
      <w:tr>
        <w:trPr>
          <w:trHeight w:val="699" w:hRule="atLeast"/>
        </w:trPr>
        <w:tc>
          <w:tcPr>
            <w:tcW w:w="993" w:type="dxa"/>
            <w:tcBorders/>
            <w:shd w:color="auto" w:fill="auto" w:val="clear"/>
            <w:vAlign w:val="center"/>
          </w:tcPr>
          <w:p>
            <w:pPr>
              <w:pStyle w:val="Normal"/>
              <w:widowControl/>
              <w:spacing w:before="0" w:after="0"/>
              <w:jc w:val="center"/>
              <w:rPr>
                <w:rFonts w:cs="Calibri" w:cstheme="minorHAnsi"/>
                <w:b/>
                <w:bCs/>
                <w:sz w:val="18"/>
                <w:szCs w:val="18"/>
              </w:rPr>
            </w:pPr>
            <w:bookmarkStart w:id="182" w:name="_Hlk142026011"/>
            <w:r>
              <w:rPr>
                <w:rFonts w:eastAsia="Times New Roman" w:cs="Calibri" w:cstheme="minorHAnsi"/>
                <w:kern w:val="0"/>
                <w:sz w:val="18"/>
                <w:szCs w:val="18"/>
                <w:lang w:val="pl-PL" w:eastAsia="pl-PL" w:bidi="ar-SA"/>
              </w:rPr>
              <w:t>ZIT-WL-16</w:t>
            </w:r>
          </w:p>
        </w:tc>
        <w:tc>
          <w:tcPr>
            <w:tcW w:w="560"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obiektów użyteczności publicznej wraz z audytem (wsparcie w ramach IF)</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Włocławek</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bookmarkStart w:id="183" w:name="_Hlk142026031"/>
            <w:r>
              <w:rPr>
                <w:rFonts w:eastAsia="Times New Roman" w:cs="Calibri" w:cstheme="minorHAnsi"/>
                <w:kern w:val="0"/>
                <w:sz w:val="18"/>
                <w:szCs w:val="18"/>
                <w:lang w:val="pl-PL" w:eastAsia="pl-PL" w:bidi="ar-SA"/>
              </w:rPr>
              <w:t>Termomodernizacja obiektów użyteczności publicznej.</w:t>
            </w:r>
            <w:bookmarkEnd w:id="183"/>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II kw. 2024– II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55 358,53</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55 358,53</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27 125,68</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28 232,85</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Budynki publiczne o udoskonalonej charakterystyce energetycznej – 1880m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energetycznie budynków – 2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bookmarkStart w:id="184" w:name="_Hlk142026070"/>
            <w:r>
              <w:rPr>
                <w:rFonts w:eastAsia="Times New Roman" w:cs="Calibri" w:cstheme="minorHAnsi"/>
                <w:kern w:val="0"/>
                <w:sz w:val="18"/>
                <w:szCs w:val="18"/>
                <w:lang w:val="pl-PL" w:eastAsia="pl-PL" w:bidi="ar-SA"/>
              </w:rPr>
              <w:t xml:space="preserve">Roczne zużycie energii pierwotnej (w tym: w lokalach mieszkalnych, budynkach publicznych, przedsiębiorstwach, innych) – 3,74 </w:t>
            </w:r>
            <w:r>
              <w:rPr>
                <w:rFonts w:cs="Calibri" w:cstheme="minorHAnsi"/>
                <w:kern w:val="0"/>
                <w:sz w:val="18"/>
                <w:szCs w:val="18"/>
                <w:lang w:val="pl-PL" w:eastAsia="en-US" w:bidi="ar-SA"/>
              </w:rPr>
              <w:t>MWh/rok</w:t>
            </w:r>
          </w:p>
          <w:p>
            <w:pPr>
              <w:pStyle w:val="Normal"/>
              <w:widowControl/>
              <w:spacing w:before="0" w:after="0"/>
              <w:jc w:val="left"/>
              <w:rPr>
                <w:rFonts w:eastAsia="Times New Roman" w:cs="Calibri" w:cstheme="minorHAnsi"/>
                <w:sz w:val="18"/>
                <w:szCs w:val="18"/>
                <w:lang w:eastAsia="pl-PL"/>
              </w:rPr>
            </w:pPr>
            <w:bookmarkStart w:id="185" w:name="_Hlk142026070"/>
            <w:r>
              <w:rPr>
                <w:rFonts w:eastAsia="Times New Roman" w:cs="Calibri" w:cstheme="minorHAnsi"/>
                <w:kern w:val="0"/>
                <w:sz w:val="18"/>
                <w:szCs w:val="18"/>
                <w:lang w:val="pl-PL" w:eastAsia="pl-PL" w:bidi="ar-SA"/>
              </w:rPr>
              <w:t>Szacowana emisja gazów cieplarnianych</w:t>
            </w:r>
            <w:bookmarkEnd w:id="185"/>
            <w:r>
              <w:rPr>
                <w:rFonts w:cs="Calibri" w:cstheme="minorHAnsi"/>
                <w:kern w:val="0"/>
                <w:sz w:val="18"/>
                <w:szCs w:val="18"/>
                <w:lang w:val="pl-PL" w:eastAsia="en-US" w:bidi="ar-SA"/>
              </w:rPr>
              <w:t xml:space="preserve"> – 11,07 tony równoważnika CO2/rok</w:t>
            </w:r>
            <w:bookmarkEnd w:id="182"/>
          </w:p>
        </w:tc>
      </w:tr>
      <w:tr>
        <w:trPr>
          <w:trHeight w:val="699" w:hRule="atLeast"/>
        </w:trPr>
        <w:tc>
          <w:tcPr>
            <w:tcW w:w="993"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ZIT-WL-17</w:t>
            </w:r>
          </w:p>
        </w:tc>
        <w:tc>
          <w:tcPr>
            <w:tcW w:w="560"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CP2</w:t>
            </w:r>
          </w:p>
        </w:tc>
        <w:tc>
          <w:tcPr>
            <w:tcW w:w="715"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2(i)</w:t>
            </w:r>
          </w:p>
        </w:tc>
        <w:tc>
          <w:tcPr>
            <w:tcW w:w="1844" w:type="dxa"/>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Kompleksowa modernizacja energetyczna komunalnych budynków mieszkalnych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Gmina Miasto Kowal</w:t>
            </w:r>
          </w:p>
        </w:tc>
        <w:tc>
          <w:tcPr>
            <w:tcW w:w="1701" w:type="dxa"/>
            <w:tcBorders/>
            <w:shd w:color="auto" w:fill="auto" w:val="clear"/>
            <w:vAlign w:val="center"/>
          </w:tcPr>
          <w:p>
            <w:pPr>
              <w:pStyle w:val="Normal"/>
              <w:widowControl/>
              <w:spacing w:before="0" w:after="0"/>
              <w:jc w:val="left"/>
              <w:rPr>
                <w:rFonts w:cs="Calibri" w:cstheme="minorHAnsi"/>
                <w:sz w:val="18"/>
                <w:szCs w:val="18"/>
              </w:rPr>
            </w:pPr>
            <w:bookmarkStart w:id="186" w:name="_Hlk142026472"/>
            <w:r>
              <w:rPr>
                <w:rFonts w:eastAsia="Times New Roman" w:cs="Calibri" w:cstheme="minorHAnsi"/>
                <w:kern w:val="0"/>
                <w:sz w:val="18"/>
                <w:szCs w:val="18"/>
                <w:lang w:val="pl-PL" w:eastAsia="pl-PL" w:bidi="ar-SA"/>
              </w:rPr>
              <w:t xml:space="preserve">Kompleksowa termomodernizacja komunalnych budynków mieszkalnych </w:t>
              <w:br/>
              <w:t>w Kowalu</w:t>
            </w:r>
            <w:bookmarkEnd w:id="186"/>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kw.2023-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600 000,00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600 000,00</w:t>
            </w:r>
          </w:p>
        </w:tc>
        <w:tc>
          <w:tcPr>
            <w:tcW w:w="1558" w:type="dxa"/>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500 139,42</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99 860,58</w:t>
            </w:r>
          </w:p>
        </w:tc>
        <w:tc>
          <w:tcPr>
            <w:tcW w:w="3113" w:type="dxa"/>
            <w:tcBorders>
              <w:left w:val="nil"/>
            </w:tcBorders>
            <w:shd w:color="auto" w:fill="auto"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Lokale mieszkalne o lepszej udoskonalonej charakterystyce energetycznej – 10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zmodernizowanych źródeł ciepła (innych niż indywidualne) – 30 szt.</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Ludność objęta projektami w ramach strategii zintegrowanego rozwoju terytorialnego – 155 osób</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Powierzchnia użytkowa budynków mieszkalnych poddanych termomodernizacji – 2200 m</w:t>
            </w:r>
            <w:r>
              <w:rPr>
                <w:rFonts w:eastAsia="CIDFont+F1" w:cs="Calibri" w:cstheme="minorHAnsi"/>
                <w:kern w:val="0"/>
                <w:sz w:val="18"/>
                <w:szCs w:val="18"/>
                <w:vertAlign w:val="superscript"/>
                <w:lang w:val="pl-PL" w:eastAsia="en-US" w:bidi="ar-SA"/>
              </w:rPr>
              <w:t>2</w:t>
            </w:r>
          </w:p>
          <w:p>
            <w:pPr>
              <w:pStyle w:val="Normal"/>
              <w:widowControl/>
              <w:spacing w:before="0" w:after="0"/>
              <w:jc w:val="left"/>
              <w:rPr>
                <w:rFonts w:eastAsia="CIDFont+F1" w:cs="Calibri" w:cstheme="minorHAnsi"/>
                <w:sz w:val="18"/>
                <w:szCs w:val="18"/>
                <w:u w:val="single"/>
              </w:rPr>
            </w:pPr>
            <w:r>
              <w:rPr>
                <w:rFonts w:eastAsia="CIDFont+F1" w:cs="Calibri" w:cstheme="minorHAnsi"/>
                <w:kern w:val="0"/>
                <w:sz w:val="18"/>
                <w:szCs w:val="18"/>
                <w:u w:val="single"/>
                <w:lang w:val="pl-PL" w:eastAsia="en-US" w:bidi="ar-SA"/>
              </w:rPr>
              <w:t>Wskaźnik rezultatu:</w:t>
            </w:r>
          </w:p>
          <w:p>
            <w:pPr>
              <w:pStyle w:val="Normal"/>
              <w:widowControl/>
              <w:spacing w:before="0" w:after="0"/>
              <w:jc w:val="left"/>
              <w:rPr>
                <w:rFonts w:cs="Calibri" w:cstheme="minorHAnsi"/>
                <w:sz w:val="18"/>
                <w:szCs w:val="18"/>
              </w:rPr>
            </w:pPr>
            <w:bookmarkStart w:id="187" w:name="_Hlk142026577"/>
            <w:r>
              <w:rPr>
                <w:rFonts w:eastAsia="Times New Roman" w:cs="Calibri" w:cstheme="minorHAnsi"/>
                <w:kern w:val="0"/>
                <w:sz w:val="18"/>
                <w:szCs w:val="18"/>
                <w:lang w:val="pl-PL" w:eastAsia="pl-PL" w:bidi="ar-SA"/>
              </w:rPr>
              <w:t xml:space="preserve">Roczne zużycie energii pierwotnej (w tym: w lokalach mieszkalnych, budynkach publicznych, przedsiębiorstwach, innych) – 618,23 </w:t>
            </w:r>
            <w:r>
              <w:rPr>
                <w:rFonts w:cs="Calibri" w:cstheme="minorHAnsi"/>
                <w:kern w:val="0"/>
                <w:sz w:val="18"/>
                <w:szCs w:val="18"/>
                <w:lang w:val="pl-PL" w:eastAsia="en-US" w:bidi="ar-SA"/>
              </w:rPr>
              <w:t>MWh/rok</w:t>
            </w:r>
          </w:p>
          <w:p>
            <w:pPr>
              <w:pStyle w:val="Normal"/>
              <w:widowControl/>
              <w:spacing w:before="0" w:after="0"/>
              <w:jc w:val="left"/>
              <w:rPr>
                <w:rFonts w:cs="Calibri" w:cstheme="minorHAnsi"/>
                <w:sz w:val="18"/>
                <w:szCs w:val="18"/>
              </w:rPr>
            </w:pPr>
            <w:bookmarkStart w:id="188" w:name="_Hlk142026577"/>
            <w:r>
              <w:rPr>
                <w:rFonts w:eastAsia="Times New Roman" w:cs="Calibri" w:cstheme="minorHAnsi"/>
                <w:kern w:val="0"/>
                <w:sz w:val="18"/>
                <w:szCs w:val="18"/>
                <w:lang w:val="pl-PL" w:eastAsia="pl-PL" w:bidi="ar-SA"/>
              </w:rPr>
              <w:t>Szacowana emisja gazów cieplarnianych</w:t>
            </w:r>
            <w:bookmarkEnd w:id="188"/>
            <w:r>
              <w:rPr>
                <w:rFonts w:cs="Calibri" w:cstheme="minorHAnsi"/>
                <w:kern w:val="0"/>
                <w:sz w:val="18"/>
                <w:szCs w:val="18"/>
                <w:lang w:val="pl-PL" w:eastAsia="en-US" w:bidi="ar-SA"/>
              </w:rPr>
              <w:t xml:space="preserve"> -  222,75 tony równoważnika CO2/rok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Zmniejszenie emisji pyłu PM 10 – 0,52905 Mg/rok</w:t>
            </w:r>
          </w:p>
          <w:p>
            <w:pPr>
              <w:pStyle w:val="Normal"/>
              <w:widowControl/>
              <w:spacing w:before="0" w:after="0"/>
              <w:jc w:val="left"/>
              <w:rPr>
                <w:rFonts w:eastAsia="CIDFont+F1" w:cs="Calibri" w:cstheme="minorHAnsi"/>
                <w:sz w:val="18"/>
                <w:szCs w:val="18"/>
              </w:rPr>
            </w:pPr>
            <w:r>
              <w:rPr>
                <w:rFonts w:cs="Calibri" w:cstheme="minorHAnsi"/>
                <w:kern w:val="0"/>
                <w:sz w:val="18"/>
                <w:szCs w:val="18"/>
                <w:lang w:val="pl-PL" w:eastAsia="en-US" w:bidi="ar-SA"/>
              </w:rPr>
              <w:t>Roczne zużycie energii pierwotnej w lokalach mieszkalnych – 618,23MWh/rok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ZIT-WL-18</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komunalnych budynków mieszkalnych</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Miasto i Gmina Chodecz</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bookmarkStart w:id="189" w:name="_Hlk142026750"/>
            <w:r>
              <w:rPr>
                <w:rFonts w:eastAsia="Times New Roman" w:cs="Calibri" w:cstheme="minorHAnsi"/>
                <w:kern w:val="0"/>
                <w:sz w:val="18"/>
                <w:szCs w:val="18"/>
                <w:lang w:val="pl-PL" w:eastAsia="pl-PL" w:bidi="ar-SA"/>
              </w:rPr>
              <w:t xml:space="preserve">Kompleksowa modernizacja energetyczna komunalnych budynków mieszkalnych </w:t>
              <w:br/>
              <w:t xml:space="preserve">na terenie Miasta </w:t>
              <w:br/>
              <w:t>i Gminy Chodecz</w:t>
            </w:r>
            <w:bookmarkEnd w:id="189"/>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433 500,00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433 500,00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368 460,39</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65 039,61</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Lokale mieszkalne o lepszej udoskonalonej charakterystyce energetycznej – 25</w:t>
            </w:r>
            <w:r>
              <w:rPr>
                <w:rFonts w:eastAsia="Times New Roman" w:cs="Calibri" w:cstheme="minorHAnsi"/>
                <w:color w:val="000000" w:themeColor="text1"/>
                <w:kern w:val="0"/>
                <w:sz w:val="18"/>
                <w:szCs w:val="18"/>
                <w:lang w:val="pl-PL" w:eastAsia="pl-PL" w:bidi="ar-SA"/>
              </w:rPr>
              <w:t xml:space="preserve"> szt.</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52</w:t>
            </w:r>
            <w:r>
              <w:rPr>
                <w:rFonts w:eastAsia="Times New Roman" w:cs="Calibri" w:cstheme="minorHAnsi"/>
                <w:color w:val="000000" w:themeColor="text1"/>
                <w:kern w:val="0"/>
                <w:sz w:val="18"/>
                <w:szCs w:val="18"/>
                <w:lang w:val="pl-PL" w:eastAsia="pl-PL" w:bidi="ar-SA"/>
              </w:rPr>
              <w:t xml:space="preserve">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zdolność wytwarzania energii elektrycznej ze źródeł  OZE – 0,01 MW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elektrycznej z OZE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energetycznie budynków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użytkowa budynków mieszkalnych poddanych termomodernizacji – 930 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bookmarkStart w:id="190" w:name="_Hlk142026784"/>
            <w:r>
              <w:rPr>
                <w:rFonts w:eastAsia="Times New Roman" w:cs="Calibri" w:cstheme="minorHAnsi"/>
                <w:kern w:val="0"/>
                <w:sz w:val="18"/>
                <w:szCs w:val="18"/>
                <w:lang w:val="pl-PL" w:eastAsia="pl-PL" w:bidi="ar-SA"/>
              </w:rPr>
              <w:t xml:space="preserve">Roczne zużycie energii pierwotnej (w tym: w lokalach mieszkalnych, budynkach publicznych, przedsiębiorstwach, innych) – 9,0 </w:t>
            </w:r>
            <w:r>
              <w:rPr>
                <w:rFonts w:cs="Calibri" w:cstheme="minorHAnsi"/>
                <w:kern w:val="0"/>
                <w:sz w:val="18"/>
                <w:szCs w:val="18"/>
                <w:lang w:val="pl-PL" w:eastAsia="en-US" w:bidi="ar-SA"/>
              </w:rPr>
              <w:t>MWh/rok</w:t>
            </w:r>
          </w:p>
          <w:p>
            <w:pPr>
              <w:pStyle w:val="Normal"/>
              <w:widowControl/>
              <w:spacing w:before="0" w:after="0"/>
              <w:jc w:val="left"/>
              <w:rPr>
                <w:rFonts w:cs="Calibri" w:cstheme="minorHAnsi"/>
                <w:sz w:val="18"/>
                <w:szCs w:val="18"/>
              </w:rPr>
            </w:pPr>
            <w:bookmarkStart w:id="191" w:name="_Hlk142026784"/>
            <w:r>
              <w:rPr>
                <w:rFonts w:eastAsia="Times New Roman" w:cs="Calibri" w:cstheme="minorHAnsi"/>
                <w:kern w:val="0"/>
                <w:sz w:val="18"/>
                <w:szCs w:val="18"/>
                <w:lang w:val="pl-PL" w:eastAsia="pl-PL" w:bidi="ar-SA"/>
              </w:rPr>
              <w:t>Szacowana emisja gazów cieplarnianych</w:t>
            </w:r>
            <w:bookmarkEnd w:id="191"/>
            <w:r>
              <w:rPr>
                <w:rFonts w:cs="Calibri" w:cstheme="minorHAnsi"/>
                <w:kern w:val="0"/>
                <w:sz w:val="18"/>
                <w:szCs w:val="18"/>
                <w:lang w:val="pl-PL" w:eastAsia="en-US" w:bidi="ar-SA"/>
              </w:rPr>
              <w:t xml:space="preserve"> 7,308 tony równoważnika CO2/rok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Ilość wytworzonej energii elektrycznej ze źródeł OZE – 8,0 MWh/rok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Roczne zużycie energii pierwotnej w lokalach mieszkalnych – 9,0 MWh/rok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Zmniejszenie emisji pyłu PM 10 – 0,2 Mg/rok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Zmniejszenie emisji pyłu PM 2,5 – 0,1 Mg/rok</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ZIT-WL-19</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komunalnych budynków mieszkalnych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Lubanie</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Termomodernizacja komunalnego budynku mieszkalnego</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2024-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117 647,06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117 647,06</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17 647,06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źródeł ciepła (innych niż indywidualne)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Lokale mieszkalne o lepszej udoskonalonej charakterystyce energetycznej – 7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15 osób</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Powierzchnia użytkowa budynków mieszkalnych poddanych termomodernizacji – 402 m2</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Liczba zmodernizowanych energetycznie budynków – 1 szt.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zdolność wytwarzania energii elektrycznej ze źródeł OZE – 0,01 MW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elektrycznej z OZE – 1 st.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zaoszczędzonej energii elektrycznej i cieplnej – 20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100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lokalach mieszkalnych – 100MWh/rok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81,2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wytworzonej energii elektrycznej ze źródeł OZE – 10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zaoszczędzonej energii cieplnej – 10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zaoszczędzonej energii elektrycznej – 10 MWh/rok</w:t>
            </w:r>
          </w:p>
        </w:tc>
      </w:tr>
      <w:tr>
        <w:trPr>
          <w:trHeight w:val="699" w:hRule="atLeast"/>
        </w:trPr>
        <w:tc>
          <w:tcPr>
            <w:tcW w:w="993"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ZIT-WL-20</w:t>
            </w:r>
          </w:p>
        </w:tc>
        <w:tc>
          <w:tcPr>
            <w:tcW w:w="560"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komunalnych budynków mieszkalnych</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Lubień Kujawski</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Termomodernizacja komunalnych budynków mieszkalnych</w:t>
            </w:r>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III kw. 2023- II kw. 2025</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404 706,00</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404 706,00</w:t>
            </w:r>
          </w:p>
        </w:tc>
        <w:tc>
          <w:tcPr>
            <w:tcW w:w="1558"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344 000,00</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60 706,00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Lokale mieszkalne o lepszej udoskonalonej charakterystyce energetycznej – 14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44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zdolność wytwarzania energii elektrycznej ze źródeł OZE – 0,0001 MW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elektrycznej z OZE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energetycznie budynków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112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6,21 tony równoważnika CO2/rok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ZIT-WL-21</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komunalnych budynków mieszkalnych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Włocławek</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bookmarkStart w:id="192" w:name="_Hlk142026119"/>
            <w:r>
              <w:rPr>
                <w:rFonts w:eastAsia="Times New Roman" w:cs="Calibri" w:cstheme="minorHAnsi"/>
                <w:kern w:val="0"/>
                <w:sz w:val="18"/>
                <w:szCs w:val="18"/>
                <w:lang w:val="pl-PL" w:eastAsia="pl-PL" w:bidi="ar-SA"/>
              </w:rPr>
              <w:t>Termomodernizacja komunalnych budynków mieszkalnych</w:t>
            </w:r>
            <w:bookmarkEnd w:id="192"/>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 2023- III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35 294,12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35 294,12</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5 294,12</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Liczba zmodernizowanych energetycznie budynków – 1 szt.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Lokale mieszkalne o udoskonalonej charakterystyce energetycznej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1,87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5,93 tony równoważnika CO2/rok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bookmarkStart w:id="193" w:name="_Hlk142026942"/>
            <w:r>
              <w:rPr>
                <w:rFonts w:eastAsia="Times New Roman" w:cs="Calibri" w:cstheme="minorHAnsi"/>
                <w:kern w:val="0"/>
                <w:sz w:val="18"/>
                <w:szCs w:val="18"/>
                <w:lang w:val="pl-PL" w:eastAsia="pl-PL" w:bidi="ar-SA"/>
              </w:rPr>
              <w:t>ZIT-WL-22</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komunalnych budynków mieszkalnych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Boniewo</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Kompleksowa modernizacja energetyczna komunalnych budynków mieszkalnych na terenie Gminy Boniewo</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 2024 – IV kw. 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221 553,00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221 553,00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188 320,00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33 233,00</w:t>
            </w:r>
          </w:p>
        </w:tc>
        <w:tc>
          <w:tcPr>
            <w:tcW w:w="3113" w:type="dxa"/>
            <w:tcBorders/>
            <w:shd w:color="auto" w:fill="FFFFFF" w:themeFill="background1" w:val="clear"/>
            <w:vAlign w:val="center"/>
          </w:tcPr>
          <w:p>
            <w:pPr>
              <w:pStyle w:val="Normal"/>
              <w:widowControl/>
              <w:spacing w:before="0" w:after="0"/>
              <w:jc w:val="left"/>
              <w:rPr>
                <w:rFonts w:eastAsia="CIDFont+F1" w:cs="Calibri" w:cstheme="minorHAnsi"/>
                <w:sz w:val="18"/>
                <w:szCs w:val="18"/>
                <w:u w:val="single"/>
              </w:rPr>
            </w:pPr>
            <w:r>
              <w:rPr>
                <w:rFonts w:eastAsia="CIDFont+F1" w:cs="Calibri" w:cstheme="minorHAnsi"/>
                <w:kern w:val="0"/>
                <w:sz w:val="18"/>
                <w:szCs w:val="18"/>
                <w:u w:val="single"/>
                <w:lang w:val="pl-PL" w:eastAsia="en-US" w:bidi="ar-SA"/>
              </w:rPr>
              <w:t>Wskaźnik produktu:</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zmodernizowanych energetycznie budynków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wybudowanych jednostek wytwarzania energii elektrycznej ze źródeł OZE – 3 szt.</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zmodernizowanych jednostek wytwarzania energii elektrycznej z OZE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ludności objęta projektami w ramach strategii zintegrowanego rozwoju terytorialnego – 20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użytkowa budynków mieszkalnych poddanych termomodernizacji – 120m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bookmarkStart w:id="194" w:name="_Hlk142026979"/>
            <w:r>
              <w:rPr>
                <w:rFonts w:eastAsia="Times New Roman" w:cs="Calibri" w:cstheme="minorHAnsi"/>
                <w:kern w:val="0"/>
                <w:sz w:val="18"/>
                <w:szCs w:val="18"/>
                <w:lang w:val="pl-PL" w:eastAsia="pl-PL" w:bidi="ar-SA"/>
              </w:rPr>
              <w:t>Roczne zużycie energii pierwotnej w tym w lokalach mieszkalnych, budynkach publicznych, przedsiębiorstwach, innych) – 69 959,0 MWh/rok</w:t>
            </w:r>
          </w:p>
          <w:p>
            <w:pPr>
              <w:pStyle w:val="Normal"/>
              <w:widowControl/>
              <w:spacing w:before="0" w:after="0"/>
              <w:jc w:val="left"/>
              <w:rPr>
                <w:rFonts w:eastAsia="Times New Roman" w:cs="Calibri" w:cstheme="minorHAnsi"/>
                <w:sz w:val="18"/>
                <w:szCs w:val="18"/>
                <w:lang w:eastAsia="pl-PL"/>
              </w:rPr>
            </w:pPr>
            <w:r>
              <w:rPr>
                <w:rFonts w:eastAsia="CIDFont+F1" w:cs="Calibri" w:cstheme="minorHAnsi"/>
                <w:kern w:val="0"/>
                <w:sz w:val="18"/>
                <w:szCs w:val="18"/>
                <w:lang w:val="pl-PL" w:eastAsia="en-US" w:bidi="ar-SA"/>
              </w:rPr>
              <w:t xml:space="preserve">Ilość wytworzonej energii elektrycznej ze źródeł OZE – 13,40 </w:t>
            </w:r>
            <w:r>
              <w:rPr>
                <w:rFonts w:eastAsia="Times New Roman" w:cs="Calibri" w:cstheme="minorHAnsi"/>
                <w:kern w:val="0"/>
                <w:sz w:val="18"/>
                <w:szCs w:val="18"/>
                <w:lang w:val="pl-PL" w:eastAsia="pl-PL" w:bidi="ar-SA"/>
              </w:rPr>
              <w:t>MWh/rok</w:t>
            </w:r>
          </w:p>
          <w:p>
            <w:pPr>
              <w:pStyle w:val="Normal"/>
              <w:widowControl/>
              <w:spacing w:before="0" w:after="0"/>
              <w:jc w:val="left"/>
              <w:rPr>
                <w:rFonts w:eastAsia="Times New Roman" w:cs="Calibri" w:cstheme="minorHAnsi"/>
                <w:sz w:val="18"/>
                <w:szCs w:val="18"/>
                <w:lang w:eastAsia="pl-PL"/>
              </w:rPr>
            </w:pPr>
            <w:r>
              <w:rPr>
                <w:rFonts w:eastAsia="CIDFont+F1" w:cs="Calibri" w:cstheme="minorHAnsi"/>
                <w:kern w:val="0"/>
                <w:sz w:val="18"/>
                <w:szCs w:val="18"/>
                <w:lang w:val="pl-PL" w:eastAsia="en-US" w:bidi="ar-SA"/>
              </w:rPr>
              <w:t>Ilość zaoszczędzonej energii elektrycznej – 4,81</w:t>
            </w:r>
            <w:r>
              <w:rPr>
                <w:rFonts w:eastAsia="Times New Roman" w:cs="Calibri" w:cstheme="minorHAnsi"/>
                <w:kern w:val="0"/>
                <w:sz w:val="18"/>
                <w:szCs w:val="18"/>
                <w:lang w:val="pl-PL" w:eastAsia="pl-PL" w:bidi="ar-SA"/>
              </w:rPr>
              <w:t xml:space="preserve"> MWh/rok</w:t>
            </w:r>
          </w:p>
          <w:p>
            <w:pPr>
              <w:pStyle w:val="Normal"/>
              <w:widowControl/>
              <w:spacing w:before="0" w:after="0"/>
              <w:jc w:val="left"/>
              <w:rPr>
                <w:rFonts w:cs="Calibri" w:cstheme="minorHAnsi"/>
                <w:sz w:val="18"/>
                <w:szCs w:val="18"/>
              </w:rPr>
            </w:pPr>
            <w:r>
              <w:rPr>
                <w:rFonts w:eastAsia="CIDFont+F1" w:cs="Calibri" w:cstheme="minorHAnsi"/>
                <w:kern w:val="0"/>
                <w:sz w:val="18"/>
                <w:szCs w:val="18"/>
                <w:lang w:val="pl-PL" w:eastAsia="en-US" w:bidi="ar-SA"/>
              </w:rPr>
              <w:t xml:space="preserve">Zmniejszenie emisji pyłu PM10 – 0,000658 </w:t>
            </w:r>
            <w:r>
              <w:rPr>
                <w:rFonts w:cs="Calibri" w:cstheme="minorHAnsi"/>
                <w:kern w:val="0"/>
                <w:sz w:val="18"/>
                <w:szCs w:val="18"/>
                <w:lang w:val="pl-PL" w:eastAsia="en-US" w:bidi="ar-SA"/>
              </w:rPr>
              <w:t>Mg/rok</w:t>
            </w:r>
          </w:p>
          <w:p>
            <w:pPr>
              <w:pStyle w:val="Normal"/>
              <w:widowControl/>
              <w:spacing w:before="0" w:after="0"/>
              <w:jc w:val="left"/>
              <w:rPr>
                <w:rFonts w:cs="Calibri" w:cstheme="minorHAnsi"/>
                <w:sz w:val="18"/>
                <w:szCs w:val="18"/>
              </w:rPr>
            </w:pPr>
            <w:r>
              <w:rPr>
                <w:rFonts w:eastAsia="CIDFont+F1" w:cs="Calibri" w:cstheme="minorHAnsi"/>
                <w:kern w:val="0"/>
                <w:sz w:val="18"/>
                <w:szCs w:val="18"/>
                <w:lang w:val="pl-PL" w:eastAsia="en-US" w:bidi="ar-SA"/>
              </w:rPr>
              <w:t>Zmniejszenie emisji pyłu PM2,5 – 0,000458</w:t>
            </w:r>
            <w:r>
              <w:rPr>
                <w:rFonts w:cs="Calibri" w:cstheme="minorHAnsi"/>
                <w:kern w:val="0"/>
                <w:sz w:val="18"/>
                <w:szCs w:val="18"/>
                <w:lang w:val="pl-PL" w:eastAsia="en-US" w:bidi="ar-SA"/>
              </w:rPr>
              <w:t xml:space="preserve"> Mg/rok</w:t>
            </w:r>
          </w:p>
          <w:p>
            <w:pPr>
              <w:pStyle w:val="Normal"/>
              <w:widowControl/>
              <w:spacing w:before="0" w:after="0"/>
              <w:jc w:val="left"/>
              <w:rPr>
                <w:rFonts w:eastAsia="Times New Roman" w:cs="Calibri" w:cstheme="minorHAnsi"/>
                <w:sz w:val="18"/>
                <w:szCs w:val="18"/>
                <w:lang w:eastAsia="pl-PL"/>
              </w:rPr>
            </w:pPr>
            <w:bookmarkStart w:id="195" w:name="_Hlk142026979"/>
            <w:r>
              <w:rPr>
                <w:rFonts w:eastAsia="Times New Roman" w:cs="Calibri" w:cstheme="minorHAnsi"/>
                <w:kern w:val="0"/>
                <w:sz w:val="18"/>
                <w:szCs w:val="18"/>
                <w:lang w:val="pl-PL" w:eastAsia="pl-PL" w:bidi="ar-SA"/>
              </w:rPr>
              <w:t xml:space="preserve">Szacowana emisja gazów cieplarnianych </w:t>
            </w:r>
            <w:bookmarkEnd w:id="195"/>
            <w:r>
              <w:rPr>
                <w:rFonts w:eastAsia="Times New Roman" w:cs="Calibri" w:cstheme="minorHAnsi"/>
                <w:kern w:val="0"/>
                <w:sz w:val="18"/>
                <w:szCs w:val="18"/>
                <w:lang w:val="pl-PL" w:eastAsia="pl-PL" w:bidi="ar-SA"/>
              </w:rPr>
              <w:t>– 19,25  tony równoważnika CO2/rok</w:t>
            </w:r>
            <w:bookmarkEnd w:id="193"/>
          </w:p>
        </w:tc>
      </w:tr>
      <w:tr>
        <w:trPr>
          <w:trHeight w:val="699" w:hRule="atLeast"/>
        </w:trPr>
        <w:tc>
          <w:tcPr>
            <w:tcW w:w="993"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ZIT-WL-23</w:t>
            </w:r>
          </w:p>
        </w:tc>
        <w:tc>
          <w:tcPr>
            <w:tcW w:w="560"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160"/>
              <w:jc w:val="left"/>
              <w:rPr>
                <w:rFonts w:cs="Calibri" w:cstheme="minorHAnsi"/>
                <w:sz w:val="18"/>
                <w:szCs w:val="18"/>
              </w:rPr>
            </w:pPr>
            <w:r>
              <w:rPr>
                <w:rFonts w:eastAsia="Times New Roman" w:cs="Calibri" w:cstheme="minorHAnsi"/>
                <w:kern w:val="0"/>
                <w:sz w:val="18"/>
                <w:szCs w:val="18"/>
                <w:lang w:val="pl-PL" w:eastAsia="pl-PL" w:bidi="ar-SA"/>
              </w:rPr>
              <w:t>Ciepłownie lokalne</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160"/>
              <w:jc w:val="left"/>
              <w:rPr>
                <w:rFonts w:cs="Calibri" w:cstheme="minorHAnsi"/>
                <w:sz w:val="18"/>
                <w:szCs w:val="18"/>
              </w:rPr>
            </w:pPr>
            <w:r>
              <w:rPr>
                <w:rFonts w:eastAsia="Times New Roman" w:cs="Calibri" w:cstheme="minorHAnsi"/>
                <w:kern w:val="0"/>
                <w:sz w:val="18"/>
                <w:szCs w:val="18"/>
                <w:lang w:val="pl-PL" w:eastAsia="pl-PL" w:bidi="ar-SA"/>
              </w:rPr>
              <w:t>Gmina Brześć Kujawski</w:t>
            </w:r>
          </w:p>
        </w:tc>
        <w:tc>
          <w:tcPr>
            <w:tcW w:w="1701" w:type="dxa"/>
            <w:tcBorders>
              <w:top w:val="nil"/>
            </w:tcBorders>
            <w:shd w:color="auto" w:fill="auto" w:val="clear"/>
            <w:vAlign w:val="center"/>
          </w:tcPr>
          <w:p>
            <w:pPr>
              <w:pStyle w:val="Normal"/>
              <w:widowControl/>
              <w:spacing w:before="0" w:after="160"/>
              <w:jc w:val="left"/>
              <w:rPr>
                <w:rFonts w:cs="Calibri" w:cstheme="minorHAnsi"/>
                <w:sz w:val="18"/>
                <w:szCs w:val="18"/>
              </w:rPr>
            </w:pPr>
            <w:bookmarkStart w:id="196" w:name="_Hlk142027430"/>
            <w:r>
              <w:rPr>
                <w:rFonts w:eastAsia="Times New Roman" w:cs="Calibri" w:cstheme="minorHAnsi"/>
                <w:kern w:val="0"/>
                <w:sz w:val="18"/>
                <w:szCs w:val="18"/>
                <w:lang w:val="pl-PL" w:eastAsia="pl-PL" w:bidi="ar-SA"/>
              </w:rPr>
              <w:t>Budowa kotłowni miejskiej w Brześciu Kujawskim</w:t>
            </w:r>
            <w:bookmarkEnd w:id="196"/>
          </w:p>
        </w:tc>
        <w:tc>
          <w:tcPr>
            <w:tcW w:w="991"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II kw.2024- IV kw.2025</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647 647,05</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647 647,05</w:t>
            </w:r>
          </w:p>
        </w:tc>
        <w:tc>
          <w:tcPr>
            <w:tcW w:w="1558"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550 500,00</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97 147,05</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Wskaźniki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Wybudowane lub zmodernizowane sieci ciepłownicze i chłodnicze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630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2 972,16 MWh/rok</w:t>
            </w:r>
          </w:p>
          <w:p>
            <w:pPr>
              <w:pStyle w:val="Normal"/>
              <w:widowControl/>
              <w:spacing w:before="0" w:after="0"/>
              <w:jc w:val="left"/>
              <w:rPr>
                <w:rFonts w:eastAsia="Times New Roman" w:cs="Calibri" w:cstheme="minorHAnsi"/>
                <w:sz w:val="18"/>
                <w:szCs w:val="18"/>
                <w:lang w:eastAsia="pl-PL"/>
              </w:rPr>
            </w:pPr>
            <w:bookmarkStart w:id="197" w:name="_Hlk142027467"/>
            <w:r>
              <w:rPr>
                <w:rFonts w:eastAsia="Times New Roman" w:cs="Calibri" w:cstheme="minorHAnsi"/>
                <w:kern w:val="0"/>
                <w:sz w:val="18"/>
                <w:szCs w:val="18"/>
                <w:lang w:val="pl-PL" w:eastAsia="pl-PL" w:bidi="ar-SA"/>
              </w:rPr>
              <w:t xml:space="preserve">Szacowana emisja gazów cieplarnianych </w:t>
            </w:r>
            <w:bookmarkEnd w:id="197"/>
            <w:r>
              <w:rPr>
                <w:rFonts w:eastAsia="Times New Roman" w:cs="Calibri" w:cstheme="minorHAnsi"/>
                <w:kern w:val="0"/>
                <w:sz w:val="18"/>
                <w:szCs w:val="18"/>
                <w:lang w:val="pl-PL" w:eastAsia="pl-PL" w:bidi="ar-SA"/>
              </w:rPr>
              <w:t>– 587,511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dodatkowych użytkowników podłączonych do sieci ciepłowniczej – 630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10 – 0,0051 Mg/rok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2,5 – 0,0051 Mg/rok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ZIT-WL-24</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Ciepłownie lokalne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Powiat Włocławski</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Wymiana źródeł ciepła w jednostkach organizacyjnych powiatu</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 2023-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1 368 484,12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1 368 484,12</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1 163 211,5</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205 272,62</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źródeł ciepła (innych niż indywidualne) – 10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80 000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300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239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budynkach publicznych – 300MWh/rok</w:t>
            </w:r>
          </w:p>
        </w:tc>
      </w:tr>
      <w:tr>
        <w:trPr>
          <w:trHeight w:val="699" w:hRule="atLeast"/>
        </w:trPr>
        <w:tc>
          <w:tcPr>
            <w:tcW w:w="993"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ZIT-WL-25</w:t>
            </w:r>
          </w:p>
        </w:tc>
        <w:tc>
          <w:tcPr>
            <w:tcW w:w="560"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Ciepłownie lokalne</w:t>
            </w:r>
          </w:p>
        </w:tc>
        <w:tc>
          <w:tcPr>
            <w:tcW w:w="1984" w:type="dxa"/>
            <w:tcBorders/>
            <w:shd w:color="auto" w:fill="FFFFFF" w:themeFill="background1" w:val="clear"/>
            <w:vAlign w:val="center"/>
          </w:tcPr>
          <w:p>
            <w:pPr>
              <w:pStyle w:val="Normal"/>
              <w:widowControl/>
              <w:spacing w:lineRule="auto" w:line="276"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Baruchowo</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Modernizacja ciepłowni lokalnej</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kw.2025-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50 000,00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źródeł ciepła (innych niż indywidualne)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jednostek wytwarzania energii elektrycznej i cieplnej z OZE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elektrycznej z OZE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Ilość wytworzonej energii elektrycznej ze źródeł OZE – 10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30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zdolności wytwarzania energii elektryczne ze źródeł OZE – 49 MW</w:t>
            </w:r>
          </w:p>
        </w:tc>
      </w:tr>
      <w:tr>
        <w:trPr>
          <w:trHeight w:val="699" w:hRule="atLeast"/>
        </w:trPr>
        <w:tc>
          <w:tcPr>
            <w:tcW w:w="993"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ZIT-WL-26</w:t>
            </w:r>
          </w:p>
        </w:tc>
        <w:tc>
          <w:tcPr>
            <w:tcW w:w="560"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Ciepłownie lokalne</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Boniewo</w:t>
            </w:r>
          </w:p>
        </w:tc>
        <w:tc>
          <w:tcPr>
            <w:tcW w:w="1701" w:type="dxa"/>
            <w:tcBorders>
              <w:top w:val="nil"/>
            </w:tcBorders>
            <w:shd w:color="auto" w:fill="auto" w:val="clear"/>
            <w:vAlign w:val="center"/>
          </w:tcPr>
          <w:p>
            <w:pPr>
              <w:pStyle w:val="Normal"/>
              <w:widowControl/>
              <w:spacing w:before="0" w:after="160"/>
              <w:jc w:val="left"/>
              <w:rPr>
                <w:rFonts w:cs="Calibri" w:cstheme="minorHAnsi"/>
                <w:b/>
                <w:bCs/>
                <w:sz w:val="18"/>
                <w:szCs w:val="18"/>
              </w:rPr>
            </w:pPr>
            <w:bookmarkStart w:id="198" w:name="_Hlk142027090"/>
            <w:r>
              <w:rPr>
                <w:rFonts w:eastAsia="Times New Roman" w:cs="Calibri" w:cstheme="minorHAnsi"/>
                <w:kern w:val="0"/>
                <w:sz w:val="18"/>
                <w:szCs w:val="18"/>
                <w:lang w:val="pl-PL" w:eastAsia="pl-PL" w:bidi="ar-SA"/>
              </w:rPr>
              <w:t>Modernizacja lokalnego źródła ciepła z infrastrukturą towarzyszącą   w Zespole Szkól Boniewo</w:t>
            </w:r>
            <w:bookmarkEnd w:id="198"/>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IV kw. 2023- IV kw. 2024</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125 599,18</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125 599,18</w:t>
            </w:r>
          </w:p>
        </w:tc>
        <w:tc>
          <w:tcPr>
            <w:tcW w:w="1558" w:type="dxa"/>
            <w:tcBorders>
              <w:top w:val="nil"/>
            </w:tcBorders>
            <w:shd w:color="auto" w:fill="auto"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106 725,31</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18 873,87</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źródeł ciepła (innych niż indywidualne)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zmodernizowanych jednostek wytwarzania energii cieplnej   z OZE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projektów, w których sfinansowano koszty racjonalnych usprawnień dla osób z niepełnosprawnościami – 1 szt.</w:t>
            </w:r>
          </w:p>
          <w:p>
            <w:pPr>
              <w:pStyle w:val="Normal"/>
              <w:widowControl/>
              <w:spacing w:before="0" w:after="0"/>
              <w:jc w:val="left"/>
              <w:rPr>
                <w:rFonts w:eastAsia="CIDFont+F1" w:cs="Calibri" w:cstheme="minorHAnsi"/>
                <w:sz w:val="18"/>
                <w:szCs w:val="18"/>
                <w:u w:val="single"/>
              </w:rPr>
            </w:pPr>
            <w:r>
              <w:rPr>
                <w:rFonts w:eastAsia="CIDFont+F1" w:cs="Calibri" w:cstheme="minorHAnsi"/>
                <w:kern w:val="0"/>
                <w:sz w:val="18"/>
                <w:szCs w:val="18"/>
                <w:u w:val="single"/>
                <w:lang w:val="pl-PL" w:eastAsia="en-US" w:bidi="ar-SA"/>
              </w:rPr>
              <w:t>Wskaźnik rezultatu:</w:t>
            </w:r>
          </w:p>
          <w:p>
            <w:pPr>
              <w:pStyle w:val="Normal"/>
              <w:widowControl/>
              <w:spacing w:before="0" w:after="0"/>
              <w:jc w:val="left"/>
              <w:rPr>
                <w:rFonts w:cs="Calibri" w:cstheme="minorHAnsi"/>
                <w:sz w:val="18"/>
                <w:szCs w:val="18"/>
              </w:rPr>
            </w:pPr>
            <w:bookmarkStart w:id="199" w:name="_Hlk142027209"/>
            <w:r>
              <w:rPr>
                <w:rFonts w:eastAsia="CIDFont+F1" w:cs="Calibri" w:cstheme="minorHAnsi"/>
                <w:kern w:val="0"/>
                <w:sz w:val="18"/>
                <w:szCs w:val="18"/>
                <w:lang w:val="pl-PL" w:eastAsia="en-US" w:bidi="ar-SA"/>
              </w:rPr>
              <w:t xml:space="preserve">Ilość wytworzonej energii cieplnej ze źródeł OZE – 38,82 </w:t>
            </w:r>
            <w:r>
              <w:rPr>
                <w:rFonts w:cs="Calibri" w:cstheme="minorHAnsi"/>
                <w:kern w:val="0"/>
                <w:sz w:val="18"/>
                <w:szCs w:val="18"/>
                <w:lang w:val="pl-PL" w:eastAsia="en-US" w:bidi="ar-SA"/>
              </w:rPr>
              <w:t>MWh/rok</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Ilość zaoszczędzonej energii cieplnej – 184,17 MWh/rok</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Zmniejszenie emisji pyłu PM10 – 0,000658 Mg/rok</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Zmniejszenie emisji pyłu PM2,5 – 0,000458 Mg/rok</w:t>
            </w:r>
          </w:p>
          <w:p>
            <w:pPr>
              <w:pStyle w:val="Normal"/>
              <w:widowControl/>
              <w:spacing w:before="0" w:after="0"/>
              <w:jc w:val="left"/>
              <w:rPr>
                <w:rFonts w:eastAsia="CIDFont+F1" w:cs="Calibri" w:cstheme="minorHAnsi"/>
                <w:sz w:val="18"/>
                <w:szCs w:val="18"/>
              </w:rPr>
            </w:pPr>
            <w:r>
              <w:rPr>
                <w:rFonts w:eastAsia="Times New Roman" w:cs="Calibri" w:cstheme="minorHAnsi"/>
                <w:kern w:val="0"/>
                <w:sz w:val="18"/>
                <w:szCs w:val="18"/>
                <w:lang w:val="pl-PL" w:eastAsia="pl-PL" w:bidi="ar-SA"/>
              </w:rPr>
              <w:t xml:space="preserve">Roczne zużycie energii pierwotnej w tym w lokalach mieszkalnych, budynkach publicznych, przedsiębiorstwach, innych – 69 959,00 </w:t>
            </w:r>
            <w:r>
              <w:rPr>
                <w:rFonts w:eastAsia="CIDFont+F1" w:cs="Calibri" w:cstheme="minorHAnsi"/>
                <w:kern w:val="0"/>
                <w:sz w:val="18"/>
                <w:szCs w:val="18"/>
                <w:lang w:val="pl-PL" w:eastAsia="en-US" w:bidi="ar-SA"/>
              </w:rPr>
              <w:t>MW/rok</w:t>
            </w:r>
          </w:p>
          <w:p>
            <w:pPr>
              <w:pStyle w:val="Normal"/>
              <w:widowControl/>
              <w:spacing w:before="0" w:after="0"/>
              <w:jc w:val="left"/>
              <w:rPr>
                <w:rFonts w:eastAsia="Times New Roman" w:cs="Calibri" w:cstheme="minorHAnsi"/>
                <w:sz w:val="18"/>
                <w:szCs w:val="18"/>
                <w:lang w:eastAsia="pl-PL"/>
              </w:rPr>
            </w:pPr>
            <w:bookmarkStart w:id="200" w:name="_Hlk142027209"/>
            <w:r>
              <w:rPr>
                <w:rFonts w:eastAsia="Times New Roman" w:cs="Calibri" w:cstheme="minorHAnsi"/>
                <w:kern w:val="0"/>
                <w:sz w:val="18"/>
                <w:szCs w:val="18"/>
                <w:lang w:val="pl-PL" w:eastAsia="pl-PL" w:bidi="ar-SA"/>
              </w:rPr>
              <w:t xml:space="preserve">Szacowana emisja gazów cieplarnianych – </w:t>
            </w:r>
            <w:bookmarkEnd w:id="200"/>
            <w:r>
              <w:rPr>
                <w:rFonts w:eastAsia="Times New Roman" w:cs="Calibri" w:cstheme="minorHAnsi"/>
                <w:kern w:val="0"/>
                <w:sz w:val="18"/>
                <w:szCs w:val="18"/>
                <w:lang w:val="pl-PL" w:eastAsia="pl-PL" w:bidi="ar-SA"/>
              </w:rPr>
              <w:t>19,25 CO2/rok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ZIT-WL-27</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Ciepłownie lokalne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Lubanie</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Modernizacja lokalnych ciepłowni w obiektach użyteczności publicznej z wykorzystaniem OZE</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II kw. 2024- IV kw. 2024</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271 197,00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271 197,00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230 517,45</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40 679,55</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jednostek wytwarzania energii cieplnej z OZE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Dodatkowa zdolność wytwarzania energii cieplnej ze źródeł OZE – 0,04 MW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zmodernizowanych źródeł ciepła innych niż indywidualne)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500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wytworzonej energii cieplnej ze źródeł OZE – 40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budynkach publicznych – 105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85,26 tony równoważnika CO2/rok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Roczne zużycie energii pierwotnej (w tym: w lokalach mieszkalnych, budynkach publicznych, przedsiębiorstwach, innych) – 105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10 – 0,018 Mg/rok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2,5 – 0,015 Mg/rok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ZIT-WL-28</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Oświetlenie uliczne</w:t>
            </w:r>
          </w:p>
        </w:tc>
        <w:tc>
          <w:tcPr>
            <w:tcW w:w="1984" w:type="dxa"/>
            <w:tcBorders/>
            <w:shd w:color="auto" w:fill="FFFFFF" w:themeFill="background1" w:val="clear"/>
            <w:vAlign w:val="center"/>
          </w:tcPr>
          <w:p>
            <w:pPr>
              <w:pStyle w:val="Normal"/>
              <w:widowControl/>
              <w:spacing w:before="0" w:after="0"/>
              <w:jc w:val="left"/>
              <w:rPr>
                <w:rFonts w:cs="Calibri" w:cstheme="minorHAnsi"/>
                <w:b/>
                <w:bCs/>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Lubraniec</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Wymiana oświetlenie ulicznego na terenie gminy Lubraniec</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140 000,00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nowych/zmodernizowanych punktów świetlnych – 950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100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Ilość zaoszczędzonej energii elektrycznej – 100 MWh/rok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Szacowana emisja gazów cieplarnianych – 60 tony równoważnika CO</w:t>
            </w:r>
            <w:r>
              <w:rPr>
                <w:rFonts w:eastAsia="Times New Roman" w:cs="Calibri" w:cstheme="minorHAnsi"/>
                <w:kern w:val="0"/>
                <w:sz w:val="18"/>
                <w:szCs w:val="18"/>
                <w:vertAlign w:val="subscript"/>
                <w:lang w:val="pl-PL" w:eastAsia="pl-PL" w:bidi="ar-SA"/>
              </w:rPr>
              <w:t>2</w:t>
            </w:r>
            <w:r>
              <w:rPr>
                <w:rFonts w:eastAsia="Times New Roman" w:cs="Calibri" w:cstheme="minorHAnsi"/>
                <w:kern w:val="0"/>
                <w:sz w:val="18"/>
                <w:szCs w:val="18"/>
                <w:lang w:val="pl-PL" w:eastAsia="pl-PL" w:bidi="ar-SA"/>
              </w:rPr>
              <w:t>/rok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10 – 0,5 Mg/rok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2,5 – 0,5 Mg/rok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ZIT-WL-29</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Oświetlenie uliczne</w:t>
            </w:r>
          </w:p>
        </w:tc>
        <w:tc>
          <w:tcPr>
            <w:tcW w:w="1984" w:type="dxa"/>
            <w:tcBorders/>
            <w:shd w:color="auto" w:fill="FFFFFF" w:themeFill="background1" w:val="clear"/>
            <w:vAlign w:val="center"/>
          </w:tcPr>
          <w:p>
            <w:pPr>
              <w:pStyle w:val="Normal"/>
              <w:widowControl/>
              <w:spacing w:before="0" w:after="0"/>
              <w:jc w:val="left"/>
              <w:rPr>
                <w:rFonts w:cs="Calibri" w:cstheme="minorHAnsi"/>
                <w:b/>
                <w:bCs/>
                <w:sz w:val="18"/>
                <w:szCs w:val="18"/>
              </w:rPr>
            </w:pPr>
            <w:r>
              <w:rPr>
                <w:rFonts w:cs=""/>
                <w:kern w:val="0"/>
                <w:sz w:val="18"/>
                <w:szCs w:val="18"/>
                <w:lang w:val="pl-PL" w:eastAsia="en-US" w:bidi="ar-SA"/>
              </w:rPr>
              <w:t>Poprawa efektywności energetycznej oraz redukcja emisji gazów cieplarnianych na obszarze MOF</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Wymiana oświetlenia na energooszczędne na obszarze Miasta Włocławek</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kw.2022- IV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3 883 620,24</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3 883 620,24</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586 614,00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3 297 006,24</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nowych/zmodernizowanych punktów świetlnych – 5 480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70 889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Szacowana emisja gazów cieplarnianych 655,94</w:t>
            </w:r>
            <w:r>
              <w:rPr>
                <w:rFonts w:eastAsia="Times New Roman" w:cs="Calibri" w:cstheme="minorHAnsi"/>
                <w:color w:val="000000" w:themeColor="text1"/>
                <w:kern w:val="0"/>
                <w:sz w:val="18"/>
                <w:szCs w:val="18"/>
                <w:lang w:val="pl-PL" w:eastAsia="pl-PL" w:bidi="ar-SA"/>
              </w:rPr>
              <w:t xml:space="preserve"> tony równoważnika CO2/rok</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Roczne zużycie energii pierwotnej – 2316,17 MWh</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Ilość zaoszczędzonej energii elektrycznej – 926,47 MWh</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10 – 0,020382252/rok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Zmniejszenie emisji pyłu PM 2,5 – 0,020382252 Mg/rok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ZIT-WL-30</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2(iv)</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Działania adaptacyjne w miastach (nasadzenia, zazielenianie miast, gospodarowanie wodami opadowymi)</w:t>
            </w:r>
          </w:p>
        </w:tc>
        <w:tc>
          <w:tcPr>
            <w:tcW w:w="1984" w:type="dxa"/>
            <w:tcBorders/>
            <w:shd w:color="auto" w:fill="FFFFFF" w:themeFill="background1" w:val="clear"/>
          </w:tcPr>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 xml:space="preserve">Poprawa dostępu </w:t>
              <w:br/>
              <w:t>do dobrej jakości wody</w:t>
              <w:br/>
              <w:t xml:space="preserve"> i zrównoważona gospodarka wodna oraz działania adaptacyjne mające na celu budowanie odporności</w:t>
              <w:br/>
              <w:t xml:space="preserve"> i przystosowanie </w:t>
              <w:br/>
              <w:t>do zmian klimatu</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Zielone tereny Śródmieścia miasta Włocławek</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 2024- IV kw. 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2 385 010,45</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2 385 010,45</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2 027 258,88</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357 751,57</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Zielona infrastruktura wybudowana lub zmodernizowana w celu przystosowania się do zmian klimatu – 2,8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Pojemność obiektów małej retencji – 60 m3</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miast wspartych w zakresie adaptacji do zmian klimatu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drzew poddanych zabiegom pielęgnacyjnym – 80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96 669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Objętość retencjonowanej wody – 60 m3</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ZIT-WL-31</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Projekty w zakresie efektywnych (inteligentnych) sieci wodociągowych (w tym systemy pomiaru zużycia wody w wydzielonych obszarach sieci wodociągowej i SUW, monitoring strat sieciowych - wycieków, instalacje monitoringowe)</w:t>
            </w:r>
          </w:p>
        </w:tc>
        <w:tc>
          <w:tcPr>
            <w:tcW w:w="1984" w:type="dxa"/>
            <w:tcBorders/>
            <w:shd w:color="auto" w:fill="FFFFFF" w:themeFill="background1" w:val="clear"/>
          </w:tcPr>
          <w:p>
            <w:pPr>
              <w:pStyle w:val="Normal"/>
              <w:widowControl/>
              <w:spacing w:before="0" w:after="0"/>
              <w:jc w:val="left"/>
              <w:rPr>
                <w:rFonts w:cs="Calibri" w:cstheme="minorHAnsi"/>
                <w:sz w:val="18"/>
                <w:szCs w:val="18"/>
              </w:rPr>
            </w:pPr>
            <w:r>
              <w:rPr>
                <w:rFonts w:cs=""/>
                <w:kern w:val="0"/>
                <w:sz w:val="18"/>
                <w:szCs w:val="18"/>
                <w:lang w:val="pl-PL" w:eastAsia="en-US" w:bidi="ar-SA"/>
              </w:rPr>
              <w:t xml:space="preserve">Poprawa dostępu do dobrej jakości wody i zrównoważona gospodarka wodna oraz działania adaptacyjne mające na celu budowanie odporności </w:t>
              <w:br/>
              <w:t>i przystosowanie do zmian klimatu</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Lubień Kujawski</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Modernizacja stacji uzdatniania wody w m. Narty, gm. Lubień Kujawski</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III kw. 2023- 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206 129,00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206 129,00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175 210,00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30 919,00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doposażonych stacji uzdatniania wody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600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udoskonalonych zbiorowych systemów zaopatrzenia w wodę - 35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ZIT-WL-32</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Projekty w zakresie efektywnych (inteligentnych) sieci wodociągowych (w tym systemy pomiaru zużycia wody w wydzielonych obszarach sieci wodociągowej i SUW, monitoring strat sieciowych - wycieków, instalacje monitoringowe)</w:t>
            </w:r>
          </w:p>
        </w:tc>
        <w:tc>
          <w:tcPr>
            <w:tcW w:w="1984" w:type="dxa"/>
            <w:tcBorders/>
            <w:shd w:color="auto" w:fill="FFFFFF" w:themeFill="background1" w:val="clear"/>
          </w:tcPr>
          <w:p>
            <w:pPr>
              <w:pStyle w:val="Normal"/>
              <w:widowControl/>
              <w:spacing w:before="0" w:after="0"/>
              <w:jc w:val="left"/>
              <w:rPr>
                <w:rFonts w:cs="Calibri" w:cstheme="minorHAnsi"/>
                <w:sz w:val="18"/>
                <w:szCs w:val="18"/>
              </w:rPr>
            </w:pPr>
            <w:r>
              <w:rPr>
                <w:rFonts w:cs=""/>
                <w:kern w:val="0"/>
                <w:sz w:val="18"/>
                <w:szCs w:val="18"/>
                <w:lang w:val="pl-PL" w:eastAsia="en-US" w:bidi="ar-SA"/>
              </w:rPr>
              <w:t>Poprawa dostępu do dobrej jakości wody</w:t>
              <w:br/>
              <w:t xml:space="preserve"> i zrównoważona gospodarka wodna oraz działania adaptacyjne mające na celu budowanie odporności </w:t>
              <w:br/>
              <w:t>i przystosowanie do zmian klimatu</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Kowal</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 xml:space="preserve">Modernizacja systemu wodociągowego </w:t>
              <w:br/>
              <w:t>w zakresie wprowadzenia inteligentnych rozwiązań</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kw.2023-</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85 887,54</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85 887,54</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73 004,41</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12 883,13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Długość zmodernizowanej sieci wodociągowej - 140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Długość wybudowanej sieci wodociągowej – 0,79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doposażonych stacji uzdatniania wody – 3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Straty wody w zbiorowych systemach zaopatrzenia w wodę – 5 000 m3/rok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udoskonalonych zbiorowych systemów zaopatrzenia w wodę – 3 500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ZIT-WL-33</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Projekty w zakresie efektywnych (inteligentnych) sieci wodociągowych (w tym systemy pomiaru zużycia wody w wydzielonych obszarach sieci wodociągowej i SUW, monitoring strat sieciowych - wycieków, instalacje monitoringowe)</w:t>
            </w:r>
          </w:p>
        </w:tc>
        <w:tc>
          <w:tcPr>
            <w:tcW w:w="1984" w:type="dxa"/>
            <w:tcBorders/>
            <w:shd w:color="auto" w:fill="FFFFFF" w:themeFill="background1" w:val="clear"/>
          </w:tcPr>
          <w:p>
            <w:pPr>
              <w:pStyle w:val="Normal"/>
              <w:widowControl/>
              <w:spacing w:before="0" w:after="0"/>
              <w:jc w:val="left"/>
              <w:rPr>
                <w:rFonts w:cs="Calibri" w:cstheme="minorHAnsi"/>
                <w:sz w:val="18"/>
                <w:szCs w:val="18"/>
              </w:rPr>
            </w:pPr>
            <w:r>
              <w:rPr>
                <w:rFonts w:cs=""/>
                <w:kern w:val="0"/>
                <w:sz w:val="18"/>
                <w:szCs w:val="18"/>
                <w:lang w:val="pl-PL" w:eastAsia="en-US" w:bidi="ar-SA"/>
              </w:rPr>
              <w:t xml:space="preserve">Poprawa dostępu </w:t>
              <w:br/>
              <w:t xml:space="preserve">do dobrej jakości wody </w:t>
              <w:br/>
              <w:t>i zrównoważona gospodarka wodna oraz działania adaptacyjne mające na celu budowanie odporności</w:t>
              <w:br/>
              <w:t xml:space="preserve"> i przystosowanie </w:t>
              <w:br/>
              <w:t>do zmian klimatu</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Choceń</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Budowa</w:t>
              <w:br/>
              <w:t xml:space="preserve"> i przebudowa infrastruktury służącej zaopatrzeniu ludności w wodę pitną na terenie gminy Choceń</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545 815,32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443 752,29</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377 189,45</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168 625,87</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przebudowanych stacji uzdatniania wody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doposażonych stacji uzdatniania wody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2 000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udoskonalonych zbiorowych systemów zaopatrzenia w wodę – 2 000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bookmarkStart w:id="201" w:name="_Hlk141362271"/>
            <w:r>
              <w:rPr>
                <w:rFonts w:eastAsia="Times New Roman" w:cs="Calibri" w:cstheme="minorHAnsi"/>
                <w:kern w:val="0"/>
                <w:sz w:val="18"/>
                <w:szCs w:val="18"/>
                <w:lang w:val="pl-PL" w:eastAsia="pl-PL" w:bidi="ar-SA"/>
              </w:rPr>
              <w:t>ZIT-WL-34</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Projekty w zakresie efektywnych (inteligentnych) sieci wodociągowych (w tym systemy pomiaru zużycia wody w wydzielonych obszarach sieci wodociągowej i SUW, monitoring strat sieciowych - wycieków, instalacje monitoringowe)</w:t>
            </w:r>
          </w:p>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984" w:type="dxa"/>
            <w:tcBorders/>
            <w:shd w:color="auto" w:fill="FFFFFF" w:themeFill="background1" w:val="clear"/>
          </w:tcPr>
          <w:p>
            <w:pPr>
              <w:pStyle w:val="Normal"/>
              <w:widowControl/>
              <w:spacing w:before="0" w:after="0"/>
              <w:jc w:val="left"/>
              <w:rPr>
                <w:rFonts w:cs="Calibri" w:cstheme="minorHAnsi"/>
                <w:sz w:val="18"/>
                <w:szCs w:val="18"/>
              </w:rPr>
            </w:pPr>
            <w:r>
              <w:rPr>
                <w:rFonts w:cs=""/>
                <w:kern w:val="0"/>
                <w:sz w:val="18"/>
                <w:szCs w:val="18"/>
                <w:lang w:val="pl-PL" w:eastAsia="en-US" w:bidi="ar-SA"/>
              </w:rPr>
              <w:t xml:space="preserve">Poprawa dostępu </w:t>
              <w:br/>
              <w:t xml:space="preserve">do dobrej jakości wody </w:t>
              <w:br/>
              <w:t>i zrównoważona gospodarka wodna oraz działania adaptacyjne mające na celu budowanie odporności</w:t>
              <w:br/>
              <w:t xml:space="preserve"> i przystosowanie do zmian klimatu</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Miasto i Gmina Chodecz</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Modernizacja systemu wodociągowego w zakresie wprowadzenia inteligentnych rozwiązań</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102 000,00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102 000,00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86 099,94</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15 900,06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Długość zmodernizowanej sieci wodociągowej – 1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Ludność objęta projektami w ramach strategii zintegrowanego rozwoju terytorialnego </w:t>
            </w:r>
            <w:r>
              <w:rPr>
                <w:rFonts w:eastAsia="Times New Roman" w:cs="Calibri" w:cstheme="minorHAnsi"/>
                <w:color w:val="000000" w:themeColor="text1"/>
                <w:kern w:val="0"/>
                <w:sz w:val="18"/>
                <w:szCs w:val="18"/>
                <w:lang w:val="pl-PL" w:eastAsia="pl-PL" w:bidi="ar-SA"/>
              </w:rPr>
              <w:t>–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przebudowanych stacji uzdatniania wody – 2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doposażonych stacji uzdatniania wody -  2 szt.</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udoskonalonych zbiorowych systemów zaopatrzenia w wodę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Straty wody w zbiorczych systemach zaopatrzenia w wodę – 15 000m</w:t>
            </w:r>
            <w:r>
              <w:rPr>
                <w:rFonts w:eastAsia="Times New Roman" w:cs="Calibri" w:cstheme="minorHAnsi"/>
                <w:kern w:val="0"/>
                <w:sz w:val="18"/>
                <w:szCs w:val="18"/>
                <w:vertAlign w:val="superscript"/>
                <w:lang w:val="pl-PL" w:eastAsia="pl-PL" w:bidi="ar-SA"/>
              </w:rPr>
              <w:t>3</w:t>
            </w:r>
            <w:r>
              <w:rPr>
                <w:rFonts w:eastAsia="Times New Roman" w:cs="Calibri" w:cstheme="minorHAnsi"/>
                <w:kern w:val="0"/>
                <w:sz w:val="18"/>
                <w:szCs w:val="18"/>
                <w:lang w:val="pl-PL" w:eastAsia="pl-PL" w:bidi="ar-SA"/>
              </w:rPr>
              <w:t>/rok</w:t>
            </w:r>
            <w:bookmarkEnd w:id="201"/>
          </w:p>
        </w:tc>
      </w:tr>
      <w:tr>
        <w:trPr>
          <w:trHeight w:val="699" w:hRule="atLeast"/>
        </w:trPr>
        <w:tc>
          <w:tcPr>
            <w:tcW w:w="993" w:type="dxa"/>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ZIT-WL-35</w:t>
            </w:r>
          </w:p>
        </w:tc>
        <w:tc>
          <w:tcPr>
            <w:tcW w:w="560" w:type="dxa"/>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shd w:color="auto" w:fill="auto" w:val="clear"/>
            <w:vAlign w:val="center"/>
          </w:tcPr>
          <w:p>
            <w:pPr>
              <w:pStyle w:val="Normal"/>
              <w:widowControl/>
              <w:spacing w:before="0" w:after="16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Projekty w zakresie efektywnych (inteligentnych) sieci wodociągowych (w tym systemy pomiaru zużycia wody w wydzielonych obszarach sieci wodociągowej i SUW, monitoring strat sieciowych - wycieków, instalacje monitoringowe)</w:t>
            </w:r>
          </w:p>
        </w:tc>
        <w:tc>
          <w:tcPr>
            <w:tcW w:w="1984" w:type="dxa"/>
            <w:tcBorders/>
            <w:shd w:color="auto" w:fill="FFFFFF" w:themeFill="background1" w:val="clear"/>
            <w:vAlign w:val="center"/>
          </w:tcPr>
          <w:p>
            <w:pPr>
              <w:pStyle w:val="Normal"/>
              <w:widowControl/>
              <w:spacing w:before="0" w:after="160"/>
              <w:jc w:val="left"/>
              <w:rPr>
                <w:rFonts w:cs="Calibri" w:cstheme="minorHAnsi"/>
                <w:sz w:val="18"/>
                <w:szCs w:val="18"/>
              </w:rPr>
            </w:pPr>
            <w:r>
              <w:rPr>
                <w:rFonts w:cs=""/>
                <w:kern w:val="0"/>
                <w:sz w:val="18"/>
                <w:szCs w:val="18"/>
                <w:lang w:val="pl-PL" w:eastAsia="en-US" w:bidi="ar-SA"/>
              </w:rPr>
              <w:t xml:space="preserve">Poprawa dostępu </w:t>
              <w:br/>
              <w:t>do dobrej jakości wody</w:t>
              <w:br/>
              <w:t xml:space="preserve"> i zrównoważona gospodarka wodna oraz działania adaptacyjne mające na celu budowanie odporności</w:t>
              <w:br/>
              <w:t xml:space="preserve"> i przystosowanie </w:t>
              <w:br/>
              <w:t>do zmian klimatu</w:t>
            </w:r>
          </w:p>
        </w:tc>
        <w:tc>
          <w:tcPr>
            <w:tcW w:w="1701" w:type="dxa"/>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Gmina Izbica Kujawska</w:t>
            </w:r>
          </w:p>
        </w:tc>
        <w:tc>
          <w:tcPr>
            <w:tcW w:w="1701" w:type="dxa"/>
            <w:tcBorders/>
            <w:shd w:color="auto" w:fill="auto" w:val="clear"/>
            <w:vAlign w:val="center"/>
          </w:tcPr>
          <w:p>
            <w:pPr>
              <w:pStyle w:val="Normal"/>
              <w:widowControl/>
              <w:spacing w:before="0" w:after="160"/>
              <w:jc w:val="left"/>
              <w:rPr>
                <w:rFonts w:cs="Calibri" w:cstheme="minorHAnsi"/>
                <w:b/>
                <w:bCs/>
                <w:sz w:val="18"/>
                <w:szCs w:val="18"/>
              </w:rPr>
            </w:pPr>
            <w:r>
              <w:rPr>
                <w:rFonts w:eastAsia="Times New Roman" w:cs="Calibri" w:cstheme="minorHAnsi"/>
                <w:kern w:val="0"/>
                <w:sz w:val="18"/>
                <w:szCs w:val="18"/>
                <w:lang w:val="pl-PL" w:eastAsia="pl-PL" w:bidi="ar-SA"/>
              </w:rPr>
              <w:t>Wykonanie systemu zdalnego pomiaru i dystrybucji wody w sieci oraz radiowych pomiarów jej zużycia na danych obszarach gminy.</w:t>
            </w:r>
          </w:p>
        </w:tc>
        <w:tc>
          <w:tcPr>
            <w:tcW w:w="991"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16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shd w:color="auto" w:fill="FFFFFF" w:themeFill="background1"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140 854,00</w:t>
            </w:r>
          </w:p>
        </w:tc>
        <w:tc>
          <w:tcPr>
            <w:tcW w:w="708"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114 516,00</w:t>
            </w:r>
          </w:p>
        </w:tc>
        <w:tc>
          <w:tcPr>
            <w:tcW w:w="1558" w:type="dxa"/>
            <w:tcBorders/>
            <w:shd w:color="auto" w:fill="auto" w:val="clear"/>
            <w:vAlign w:val="center"/>
          </w:tcPr>
          <w:p>
            <w:pPr>
              <w:pStyle w:val="Normal"/>
              <w:widowControl/>
              <w:spacing w:before="0" w:after="16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97 339,00</w:t>
            </w:r>
          </w:p>
        </w:tc>
        <w:tc>
          <w:tcPr>
            <w:tcW w:w="1561" w:type="dxa"/>
            <w:tcBorders/>
            <w:shd w:color="auto" w:fill="FFFFFF" w:themeFill="background1" w:val="clear"/>
            <w:vAlign w:val="center"/>
          </w:tcPr>
          <w:p>
            <w:pPr>
              <w:pStyle w:val="Normal"/>
              <w:widowControl/>
              <w:spacing w:before="0" w:after="16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43 515,00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2 000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doposażonych stacji uzdatniania wody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udoskonalonych zbiorowych systemów zaopatrzenia w wodę – 2 000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Straty wody w zbiorowych systemach zaopatrzenia w wodę – 30 000 m3/rok</w:t>
            </w:r>
          </w:p>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ZIT-WL-36</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shd w:color="auto" w:fill="FFFFFF" w:themeFill="background1"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Projekty w zakresie efektywnych (inteligentnych) sieci wodociągowych (w tym systemy pomiaru zużycia wody w wydzielonych obszarach sieci wodociągowej i SUW, monitoring strat sieciowych - wycieków, instalacje monitoringowe)</w:t>
            </w:r>
          </w:p>
        </w:tc>
        <w:tc>
          <w:tcPr>
            <w:tcW w:w="1984" w:type="dxa"/>
            <w:tcBorders/>
            <w:shd w:color="auto" w:fill="FFFFFF" w:themeFill="background1" w:val="clear"/>
            <w:vAlign w:val="center"/>
          </w:tcPr>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 xml:space="preserve">Poprawa dostępu </w:t>
              <w:br/>
              <w:t>do dobrej jakości wody</w:t>
              <w:br/>
              <w:t xml:space="preserve"> i zrównoważona gospodarka wodna oraz działania adaptacyjne mające na celu budowanie odporności</w:t>
              <w:br/>
              <w:t xml:space="preserve"> i przystosowanie </w:t>
              <w:br/>
              <w:t>do zmian klimatu</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Fabianki</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Rozbudowa</w:t>
              <w:br/>
              <w:t xml:space="preserve"> i modernizacja stacji uzdatniania wody </w:t>
              <w:br/>
              <w:t>w Szpetalu Górnym</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kw.2024-IV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2 124 037,80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1 726 860,00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1 114 686,13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1 009 351,67</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doposażonych stacji uzdatniania wody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przebudowanych stacji uzdatniania wody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stacji uzdatniania wody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2000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udoskonalonych zbiorowych systemów zaopatrzenia w wodę – 2 000 osób</w:t>
            </w:r>
          </w:p>
        </w:tc>
      </w:tr>
      <w:tr>
        <w:trPr>
          <w:trHeight w:val="699" w:hRule="atLeast"/>
        </w:trPr>
        <w:tc>
          <w:tcPr>
            <w:tcW w:w="993"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ZIT-WL-37</w:t>
            </w:r>
          </w:p>
        </w:tc>
        <w:tc>
          <w:tcPr>
            <w:tcW w:w="560"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Projekty w zakresie efektywnych (inteligentnych) sieci wodociągowych (w tym systemy pomiaru zużycia wody w wydzielonych obszarach sieci wodociągowej i SUW, monitoring strat sieciowych - wycieków, instalacje monitoringowe)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dostępu do dobrej jakości wody</w:t>
              <w:br/>
              <w:t xml:space="preserve"> i zrównoważona gospodarka wodna oraz działania adaptacyjne mające na celu budowanie odporności</w:t>
              <w:br/>
              <w:t xml:space="preserve"> i przystosowanie </w:t>
              <w:br/>
              <w:t>do zmian klimatu</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Lubraniec</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Modernizacja sieci wodociągowej na terenie gminy Lubraniec</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114 516,72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114 516,72</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97 339,21</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17 177,51</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Długość zmodernizowanej sieci wodociągowej – 9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ulepszonych zbiorowych systemów zaopatrzenia w wodę –  1 449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Straty wody w zbiorowych systemach zaopatrzenia w wodę – 50 m</w:t>
            </w:r>
            <w:r>
              <w:rPr>
                <w:rFonts w:eastAsia="Times New Roman" w:cs="Calibri" w:cstheme="minorHAnsi"/>
                <w:kern w:val="0"/>
                <w:sz w:val="18"/>
                <w:szCs w:val="18"/>
                <w:vertAlign w:val="superscript"/>
                <w:lang w:val="pl-PL" w:eastAsia="pl-PL" w:bidi="ar-SA"/>
              </w:rPr>
              <w:t>3</w:t>
            </w:r>
            <w:r>
              <w:rPr>
                <w:rFonts w:eastAsia="Times New Roman" w:cs="Calibri" w:cstheme="minorHAnsi"/>
                <w:kern w:val="0"/>
                <w:sz w:val="18"/>
                <w:szCs w:val="18"/>
                <w:lang w:val="pl-PL" w:eastAsia="pl-PL" w:bidi="ar-SA"/>
              </w:rPr>
              <w:t>/rok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ZIT-WL-38</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CP2</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2(v)</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Projekty w zakresie efektywnych (inteligentnych) sieci wodociągowych (w tym systemy pomiaru zużycia wody w wydzielonych obszarach sieci wodociągowej i SUW, monitoring strat sieciowych - wycieków, instalacje monitoringowe)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Poprawa dostępu do dobrej jakości wody</w:t>
              <w:br/>
              <w:t xml:space="preserve"> i zrównoważona gospodarka wodna oraz działania adaptacyjne mające na celu budowanie odporności</w:t>
              <w:br/>
              <w:t xml:space="preserve"> i przystosowanie</w:t>
              <w:br/>
              <w:t xml:space="preserve"> do zmian klimatu</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Boniewo</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Modernizacja sieci wodociągowej na terenie Gminy Boniewo</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 2023- IV kw. 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258 824,00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114 442,28</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97 275,94</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161 548,06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Długość zmodernizowanej sieci wodociągowej – 100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2 000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CIDFont+F1" w:cs="Calibri" w:cstheme="minorHAnsi"/>
                <w:sz w:val="18"/>
                <w:szCs w:val="18"/>
                <w:lang w:eastAsia="pl-PL"/>
              </w:rPr>
            </w:pPr>
            <w:r>
              <w:rPr>
                <w:rFonts w:eastAsia="CIDFont+F1" w:cs="Calibri" w:cstheme="minorHAnsi"/>
                <w:kern w:val="0"/>
                <w:sz w:val="18"/>
                <w:szCs w:val="18"/>
                <w:lang w:val="pl-PL" w:eastAsia="pl-PL" w:bidi="ar-SA"/>
              </w:rPr>
              <w:t>Starty wody w zbiorowych systemach zaopatrzenia w wodę – 5 000 m</w:t>
            </w:r>
            <w:r>
              <w:rPr>
                <w:rFonts w:eastAsia="CIDFont+F1" w:cs="Calibri" w:cstheme="minorHAnsi"/>
                <w:kern w:val="0"/>
                <w:sz w:val="18"/>
                <w:szCs w:val="18"/>
                <w:vertAlign w:val="superscript"/>
                <w:lang w:val="pl-PL" w:eastAsia="pl-PL" w:bidi="ar-SA"/>
              </w:rPr>
              <w:t>3</w:t>
            </w:r>
            <w:r>
              <w:rPr>
                <w:rFonts w:eastAsia="CIDFont+F1" w:cs="Calibri" w:cstheme="minorHAnsi"/>
                <w:kern w:val="0"/>
                <w:sz w:val="18"/>
                <w:szCs w:val="18"/>
                <w:lang w:val="pl-PL" w:eastAsia="pl-PL" w:bidi="ar-SA"/>
              </w:rPr>
              <w:t>/rok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przyłączona do udoskonalonych zbiorowych systemów zaopatrzenia w wodę – 2 000 osób</w:t>
            </w:r>
          </w:p>
        </w:tc>
      </w:tr>
      <w:tr>
        <w:trPr>
          <w:trHeight w:val="582" w:hRule="atLeast"/>
        </w:trPr>
        <w:tc>
          <w:tcPr>
            <w:tcW w:w="12615" w:type="dxa"/>
            <w:gridSpan w:val="10"/>
            <w:tcBorders/>
            <w:shd w:color="auto" w:fill="75B4F3" w:val="clear"/>
            <w:vAlign w:val="center"/>
          </w:tcPr>
          <w:p>
            <w:pPr>
              <w:pStyle w:val="Normal"/>
              <w:widowControl/>
              <w:spacing w:before="0" w:after="160"/>
              <w:jc w:val="center"/>
              <w:rPr>
                <w:rFonts w:cs="Calibri" w:cstheme="minorHAnsi"/>
                <w:b/>
                <w:bCs/>
              </w:rPr>
            </w:pPr>
            <w:r>
              <w:rPr>
                <w:rFonts w:cs=""/>
                <w:b/>
                <w:bCs/>
                <w:kern w:val="0"/>
                <w:sz w:val="22"/>
                <w:szCs w:val="22"/>
                <w:lang w:val="pl-PL" w:eastAsia="en-US" w:bidi="ar-SA"/>
              </w:rPr>
              <w:t>Razem CP2</w:t>
            </w:r>
          </w:p>
        </w:tc>
        <w:tc>
          <w:tcPr>
            <w:tcW w:w="1560" w:type="dxa"/>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34 712 054,41</w:t>
            </w:r>
          </w:p>
        </w:tc>
        <w:tc>
          <w:tcPr>
            <w:tcW w:w="708" w:type="dxa"/>
            <w:tcBorders/>
            <w:shd w:color="auto" w:fill="75B4F3" w:val="clear"/>
            <w:vAlign w:val="center"/>
          </w:tcPr>
          <w:p>
            <w:pPr>
              <w:pStyle w:val="Normal"/>
              <w:widowControl/>
              <w:spacing w:before="0" w:after="160"/>
              <w:jc w:val="center"/>
              <w:rPr>
                <w:rFonts w:eastAsia="Times New Roman" w:cs="Calibri" w:cstheme="minorHAnsi"/>
                <w:lang w:eastAsia="pl-PL"/>
              </w:rPr>
            </w:pPr>
            <w:r>
              <w:rPr>
                <w:rFonts w:eastAsia="Times New Roman" w:cs="Calibri" w:cstheme="minorHAnsi"/>
                <w:kern w:val="0"/>
                <w:sz w:val="22"/>
                <w:szCs w:val="22"/>
                <w:lang w:val="pl-PL" w:eastAsia="pl-PL" w:bidi="ar-SA"/>
              </w:rPr>
            </w:r>
          </w:p>
        </w:tc>
        <w:tc>
          <w:tcPr>
            <w:tcW w:w="1560" w:type="dxa"/>
            <w:tcBorders>
              <w:top w:val="nil"/>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34 004 654,04</w:t>
            </w:r>
          </w:p>
        </w:tc>
        <w:tc>
          <w:tcPr>
            <w:tcW w:w="1558" w:type="dxa"/>
            <w:tcBorders>
              <w:top w:val="nil"/>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23 976 083,23</w:t>
            </w:r>
          </w:p>
        </w:tc>
        <w:tc>
          <w:tcPr>
            <w:tcW w:w="1561" w:type="dxa"/>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10 735 971,18</w:t>
            </w:r>
          </w:p>
        </w:tc>
        <w:tc>
          <w:tcPr>
            <w:tcW w:w="3113" w:type="dxa"/>
            <w:tcBorders/>
            <w:shd w:color="auto" w:fill="75B4F3" w:val="clear"/>
            <w:vAlign w:val="center"/>
          </w:tcPr>
          <w:p>
            <w:pPr>
              <w:pStyle w:val="Normal"/>
              <w:widowControl/>
              <w:spacing w:before="0" w:after="16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ZIT-WL-39</w:t>
            </w:r>
          </w:p>
        </w:tc>
        <w:tc>
          <w:tcPr>
            <w:tcW w:w="56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kern w:val="0"/>
                <w:sz w:val="18"/>
                <w:szCs w:val="18"/>
                <w:lang w:val="pl-PL" w:eastAsia="pl-PL" w:bidi="ar-SA"/>
              </w:rPr>
              <w:t>4(ii)</w:t>
            </w:r>
          </w:p>
        </w:tc>
        <w:tc>
          <w:tcPr>
            <w:tcW w:w="184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Inwestycje w infrastrukturę przedszkolną ***</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Gmina Izbica Kujawska</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 xml:space="preserve">Przebudowa oraz remont Przedszkola Samorządowego </w:t>
              <w:br/>
              <w:t>w Izbicy Kujawskiej wraz z budową podjazdu dla osób niepełnosprawnych</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 III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260 000,00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cs="Calibri" w:cstheme="minorHAnsi"/>
                <w:kern w:val="0"/>
                <w:sz w:val="18"/>
                <w:szCs w:val="18"/>
                <w:lang w:val="pl-PL" w:eastAsia="en-US"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260 000,00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220 000,00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40 000,00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Pojemność klas w nowych lub zmodernizowanych placówkach opieki nad dziećmi - 84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przebudowanych lub rozbudowanych przedszkoli – 1 szt.</w:t>
            </w:r>
          </w:p>
          <w:p>
            <w:pPr>
              <w:pStyle w:val="Normal"/>
              <w:widowControl/>
              <w:spacing w:before="0" w:after="0"/>
              <w:jc w:val="left"/>
              <w:rPr>
                <w:rFonts w:eastAsia="Times New Roman" w:cs="Calibri" w:cstheme="minorHAnsi"/>
                <w:sz w:val="18"/>
                <w:szCs w:val="18"/>
                <w:lang w:eastAsia="pl-PL"/>
              </w:rPr>
            </w:pPr>
            <w:r>
              <w:rPr>
                <w:rFonts w:cs="Calibri" w:cstheme="minorHAnsi"/>
                <w:kern w:val="0"/>
                <w:sz w:val="18"/>
                <w:szCs w:val="18"/>
                <w:lang w:val="pl-PL" w:eastAsia="en-US" w:bidi="ar-SA"/>
              </w:rPr>
              <w:t>Ludność objęta projektami w ramach strategii zintegrowanego rozwoju terytorialnego – 100 osób</w:t>
            </w:r>
            <w:r>
              <w:rPr>
                <w:rFonts w:eastAsia="Times New Roman" w:cs="Calibri" w:cstheme="minorHAnsi"/>
                <w:kern w:val="0"/>
                <w:sz w:val="18"/>
                <w:szCs w:val="18"/>
                <w:lang w:val="pl-PL" w:eastAsia="pl-PL" w:bidi="ar-SA"/>
              </w:rPr>
              <w:t xml:space="preserve">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dostosowanych do potrzeb osób z niepełnosprawnościami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Roczna liczba użytkowników nowych lub zmodernizowanych placówek opieki nad dziećmi – 84 użytkowników/rok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ZIT-WL-40</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4(ii)</w:t>
            </w:r>
          </w:p>
        </w:tc>
        <w:tc>
          <w:tcPr>
            <w:tcW w:w="1844" w:type="dxa"/>
            <w:tcBorders/>
            <w:shd w:color="auto" w:fill="FFFFFF" w:themeFill="background1"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Inwestycje w infrastrukturę przedszkolną ***</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Brześć Kujawski</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 xml:space="preserve">Rozbudowa </w:t>
              <w:br/>
              <w:t xml:space="preserve">i modernizacja Przedszkola Publicznego nr 1 </w:t>
              <w:br/>
              <w:t>w Brześciu Kujawskim</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kw.2027</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764 705,88</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cs="Calibri" w:cstheme="minorHAnsi"/>
                <w:kern w:val="0"/>
                <w:sz w:val="18"/>
                <w:szCs w:val="18"/>
                <w:lang w:val="pl-PL" w:eastAsia="en-US"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764 705,88</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650 000,00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114 705,88</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doposażonych przedszkoli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przedszkoli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225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Pojemność klas w nowych lub zmodernizowanych placówkach opieki nad dziećmi – 225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dostosowanych do potrzeb osób z niepełnosprawnościami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Roczna liczba użytkowników nowych lub zmodernizowanych placówek opieki nad dziećmi – 225 użytkownicy/rok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ZIT-WL-41</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4(ii)</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Inwestycję w infrastrukturę kształcenia zawodowego</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zawodowe</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Powiat Włocławski</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 xml:space="preserve">Budowa budynku dydaktyczno- warsztatowego </w:t>
              <w:br/>
              <w:t xml:space="preserve">dla Zespołu Szkół </w:t>
              <w:br/>
              <w:t>w Kowalu</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 2023-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1 278 278,86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1 278 278,86</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1 086 537,03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191 741,83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80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Pojemność klas w nowych lub zmodernizowanych placówkach oświatowych – 80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wybudowanych szkół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dostosowanych do potrzeb osób z niepełnosprawnościami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Roczna liczba użytkowników nowych lub zmodernizowanych placówek oświatowych – 80 użytkownicy /rok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ZIT-WL-42</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Wychowanie przedszkolne</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
                <w:kern w:val="0"/>
                <w:sz w:val="18"/>
                <w:szCs w:val="18"/>
                <w:lang w:val="pl-PL" w:eastAsia="en-US" w:bidi="ar-SA"/>
              </w:rPr>
              <w:t>Wychowanie przedszkolne</w:t>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sz w:val="18"/>
                <w:szCs w:val="18"/>
              </w:rPr>
            </w:pPr>
            <w:r>
              <w:rPr>
                <w:rFonts w:cs="Calibri" w:cstheme="minorHAnsi"/>
                <w:kern w:val="0"/>
                <w:sz w:val="18"/>
                <w:szCs w:val="18"/>
                <w:lang w:val="pl-PL" w:eastAsia="en-US" w:bidi="ar-SA"/>
              </w:rPr>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Gmina Włocławek</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Organizacja zajęć</w:t>
              <w:br/>
              <w:t xml:space="preserve"> dla dzieci w wieku przedszkolnym</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IV kw. 2023- II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106 683,56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106 683,56</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90 681,03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16 002,53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objętych dodatkowymi zajęciami w edukacji przedszkolnej – 50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obiektów edukacyjnych dostosowanych do potrzeb osób z niepełnosprawnościami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2 podmioty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8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2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3 osoby</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opuszczaniu programu – 8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ZIT-WL-43</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Wychowanie przedszkolne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Brześć Kujawski</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 xml:space="preserve">Organizacja zajęć </w:t>
              <w:br/>
              <w:t>i poprawa jakości opieki przedszkolnej w Gminie Brześć Kujawski</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kw.2025-</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273 606,11</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273 606,11</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232 565,20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41 040,91</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dofinansowanych miejsc wychowania przedszkolnego – 30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5 podmioty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lub uczniów o specjalnych potrzebach rozwojowych i edukacyjnych którzy zostali objęci usługami asystenta – 10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10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miejsc wychowania przedszkolnego dostosowanego do potrzeb dzieci z niepełnoprawnościami – 10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edukacyjnych dostoswanych do potrzeb osób z niepełnoprawnościami – 5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szkol i placówek systemu oświaty objętych wsparciem w zakresie edukacji włączającej – 5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7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objętych dodatkowymi zajęciami w edukacji przedszkolnej – 347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6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567" w:hRule="atLeast"/>
        </w:trPr>
        <w:tc>
          <w:tcPr>
            <w:tcW w:w="993"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ZIT-WL-44</w:t>
            </w:r>
          </w:p>
        </w:tc>
        <w:tc>
          <w:tcPr>
            <w:tcW w:w="560"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Wychowanie przedszkolne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Miasto i Gmina Chodecz</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Poprawa jakości opieki przedszkolnej na terenie Miasta</w:t>
              <w:br/>
              <w:t xml:space="preserve"> i Gminy Chodecz</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kw.2024- 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165 200,00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165 200,00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140 346,67</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24 853,33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objętych dodatkowymi zajęciami w edukacji przedszkolnej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5 os.</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 podmiot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1 osoba</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5 osób</w:t>
            </w:r>
          </w:p>
        </w:tc>
      </w:tr>
      <w:tr>
        <w:trPr>
          <w:trHeight w:val="699" w:hRule="atLeast"/>
        </w:trPr>
        <w:tc>
          <w:tcPr>
            <w:tcW w:w="993"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ZIT-WL-45</w:t>
            </w:r>
          </w:p>
        </w:tc>
        <w:tc>
          <w:tcPr>
            <w:tcW w:w="560"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Wychowanie przedszkolne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Izbica Kujawska</w:t>
            </w:r>
          </w:p>
        </w:tc>
        <w:tc>
          <w:tcPr>
            <w:tcW w:w="1701" w:type="dxa"/>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 xml:space="preserve">Zwiększenie liczby miejsc przedszkolnych w Przedszkolu Samorządowym </w:t>
              <w:br/>
              <w:t>w Izbicy Kujawskiej</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III kw.2024- 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256 304,07</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256 304,07</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217 858,46</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38 445,61</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dofinansowanych miejsc wychowania przedszkolnego – 18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dzieci objętych dodatkowymi zajęciami w edukacji przedszkolnej – 18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szkół i placówek systemu oświaty objętych wsparciem - 1 podmiot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 xml:space="preserve">Liczba przedstawicieli kadry szkól, placówek systemu oświaty objętych wsparciem – 2 osoby </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2 osoby</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ZIT-WL-46</w:t>
            </w:r>
          </w:p>
        </w:tc>
        <w:tc>
          <w:tcPr>
            <w:tcW w:w="560" w:type="dxa"/>
            <w:tcBorders>
              <w:top w:val="nil"/>
              <w:left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left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top w:val="nil"/>
              <w:left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Wychowanie przedszkolne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top w:val="nil"/>
              <w:left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Baruchowo</w:t>
            </w:r>
          </w:p>
        </w:tc>
        <w:tc>
          <w:tcPr>
            <w:tcW w:w="1701" w:type="dxa"/>
            <w:tcBorders>
              <w:top w:val="nil"/>
              <w:left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 xml:space="preserve">Organizacja zajęć </w:t>
              <w:br/>
              <w:t>dla dzieci w wieku przedszkolnym</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kw.2023-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left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170 000,00</w:t>
            </w:r>
          </w:p>
        </w:tc>
        <w:tc>
          <w:tcPr>
            <w:tcW w:w="1558" w:type="dxa"/>
            <w:tcBorders>
              <w:top w:val="nil"/>
              <w:left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70 000,00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dzieci objętych dodatkowymi zajęciami w edukacji przedszkolnej – 50 osoby</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szkół i placówek systemu oświaty objętych wsparciem -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ogólnodostępnych szkół i placówek systemu oświaty objętych wsparciem w zakresie edukacji włączającej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przedstawicieli kadry szkól i placówek systemu oświaty objętych wsparciem – 100 osób</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 xml:space="preserve">Liczba przedstawicieli kadry szkół i placówek systemu oświaty, którzy uzyskali kwalifikacje po opuszczeniu programu – 10 osób </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ZIT-WL-47</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Wychowanie przedszkolne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Lubraniec</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Upowszechnienie</w:t>
              <w:br/>
              <w:t xml:space="preserve"> i zapewnienie wysokiej jakości edukacji przedszkolnej </w:t>
              <w:br/>
              <w:t>na terenie gminy Lubraniec</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 III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117 647,06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117 647,06</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17 647,06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objętych dodatkowymi zajęciami w edukacji przedszkolnej – 60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sytemu oświaty objętych wsparciem – 4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oświaty objętych wsparciem – 4 podmioty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4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miejsc wychowania przedszkolnego dostosowanych do potrzeb dzieci z niepełnosprawnością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4 osoby</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ZIT-WL-48</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Wychowanie przedszkolne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Wychowanie przedszkolne</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Gmina Lubień Kujawski</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Utworzenie nowych miejsc i bieżące ich funkcjonowanie w placówkach przedszkolnych na terenie gminy Lubień Kujawski</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 2023-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176 668,68</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176 668,68</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150 168,38</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26 500,30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dofinansowanych miejsc wychowania przedszkolnego – 15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objętych dodatkowymi zajęciami w edukacji przedszkolnej – 15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 podmiot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lub uczniów o specjalnych potrzebach rozwojowy i edukacyjnych, którzy zostali objęci usługami asystenta – 2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- 2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10 osób</w:t>
            </w:r>
          </w:p>
        </w:tc>
      </w:tr>
      <w:tr>
        <w:trPr>
          <w:trHeight w:val="1006" w:hRule="atLeast"/>
        </w:trPr>
        <w:tc>
          <w:tcPr>
            <w:tcW w:w="993"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ZIT-WL-49</w:t>
            </w:r>
          </w:p>
        </w:tc>
        <w:tc>
          <w:tcPr>
            <w:tcW w:w="560"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cs="Calibri" w:cstheme="minorHAnsi"/>
                <w:b/>
                <w:bCs/>
                <w:sz w:val="18"/>
                <w:szCs w:val="18"/>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Kształcenie ogólne</w:t>
            </w:r>
          </w:p>
        </w:tc>
        <w:tc>
          <w:tcPr>
            <w:tcW w:w="1701" w:type="dxa"/>
            <w:tcBorders>
              <w:top w:val="nil"/>
            </w:tcBorders>
            <w:shd w:color="auto" w:fill="auto" w:val="clear"/>
            <w:vAlign w:val="center"/>
          </w:tcPr>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Gmina Kowal</w:t>
            </w:r>
          </w:p>
        </w:tc>
        <w:tc>
          <w:tcPr>
            <w:tcW w:w="1701" w:type="dxa"/>
            <w:tcBorders>
              <w:top w:val="nil"/>
            </w:tcBorders>
            <w:shd w:color="auto" w:fill="auto" w:val="clear"/>
            <w:vAlign w:val="center"/>
          </w:tcPr>
          <w:p>
            <w:pPr>
              <w:pStyle w:val="Normal"/>
              <w:widowControl/>
              <w:spacing w:before="0" w:after="0"/>
              <w:jc w:val="left"/>
              <w:rPr>
                <w:rFonts w:cs="Calibri" w:cstheme="minorHAnsi"/>
                <w:b/>
                <w:bCs/>
                <w:sz w:val="18"/>
                <w:szCs w:val="18"/>
              </w:rPr>
            </w:pPr>
            <w:r>
              <w:rPr>
                <w:rFonts w:eastAsia="Times New Roman" w:cs="Calibri" w:cstheme="minorHAnsi"/>
                <w:kern w:val="0"/>
                <w:sz w:val="18"/>
                <w:szCs w:val="18"/>
                <w:lang w:val="pl-PL" w:eastAsia="pl-PL" w:bidi="ar-SA"/>
              </w:rPr>
              <w:t xml:space="preserve">Podniesienie kompetencji kluczowych uczniów </w:t>
              <w:br/>
              <w:t>z terenu Gminy Kowal</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326 409,21</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326 409,21</w:t>
            </w:r>
          </w:p>
        </w:tc>
        <w:tc>
          <w:tcPr>
            <w:tcW w:w="155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277 447,83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48 961,38</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100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33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80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szkół i placówek systemu oświaty, którzy uzyskali  kwalifikacje po puszczeniu programu – 33 osoby</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ZIT-WL-50</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Boniewo</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Podniesienie kompetencji kluczowych uczniów</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 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127 704,18</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127 704,18</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108 548,55</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19 155,63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50 osób</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szkól i placówek systemu oświaty objętych wsparciem – 1 szt.</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przedstawicieli kadry szkól i placówek oświaty objętych wsparciem – 5 szt.</w:t>
            </w:r>
          </w:p>
          <w:p>
            <w:pPr>
              <w:pStyle w:val="Normal"/>
              <w:widowControl/>
              <w:spacing w:before="0" w:after="0"/>
              <w:jc w:val="left"/>
              <w:rPr>
                <w:rFonts w:eastAsia="CIDFont+F1" w:cs="Calibri" w:cstheme="minorHAnsi"/>
                <w:sz w:val="18"/>
                <w:szCs w:val="18"/>
                <w:u w:val="single"/>
              </w:rPr>
            </w:pPr>
            <w:r>
              <w:rPr>
                <w:rFonts w:eastAsia="CIDFont+F1" w:cs="Calibri" w:cstheme="minorHAnsi"/>
                <w:kern w:val="0"/>
                <w:sz w:val="18"/>
                <w:szCs w:val="18"/>
                <w:u w:val="single"/>
                <w:lang w:val="pl-PL" w:eastAsia="en-US"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50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szkół i placówek systemu oświaty, którzy uzyskali  kwalifikacje po puszczeniu programu – 5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ZIT-WL-51</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Lubień Kujawski</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Podniesienie jakości kształcenia ogólnego w gminie Lubień Kujawski</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kw.2023-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295 256,47</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295 256,47</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250 968,00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44 288,47</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 podmiot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140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25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10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25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140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ZIT-WL-52</w:t>
            </w:r>
          </w:p>
        </w:tc>
        <w:tc>
          <w:tcPr>
            <w:tcW w:w="560" w:type="dxa"/>
            <w:tcBorders>
              <w:top w:val="nil"/>
              <w:left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top w:val="nil"/>
              <w:left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top w:val="nil"/>
              <w:left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top w:val="nil"/>
              <w:left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Baruchowo</w:t>
            </w:r>
          </w:p>
        </w:tc>
        <w:tc>
          <w:tcPr>
            <w:tcW w:w="1701" w:type="dxa"/>
            <w:tcBorders>
              <w:top w:val="nil"/>
              <w:left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Organizacja dodatkowych zajęć dla dzieci w wieku szkolnym</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kw.2023-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left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170 000,00</w:t>
            </w:r>
          </w:p>
        </w:tc>
        <w:tc>
          <w:tcPr>
            <w:tcW w:w="1558" w:type="dxa"/>
            <w:tcBorders>
              <w:top w:val="nil"/>
              <w:left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100 160,00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69 840,00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 podmiot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uczniów szkół i placówek systemu oświaty prowadzących kształcenie ogólne objętych wsparciem – 70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ogólnodostępnych szkół i placówek systemu oświaty objętych wsparciem w zakresie edukacji włączającej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10 osób</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eastAsia="CIDFont+F1" w:cs="Calibri" w:cstheme="minorHAnsi"/>
                <w:sz w:val="18"/>
                <w:szCs w:val="18"/>
              </w:rPr>
            </w:pPr>
            <w:r>
              <w:rPr>
                <w:rFonts w:eastAsia="CIDFont+F1" w:cs="Calibri" w:cstheme="minorHAnsi"/>
                <w:kern w:val="0"/>
                <w:sz w:val="18"/>
                <w:szCs w:val="18"/>
                <w:lang w:val="pl-PL" w:eastAsia="en-US" w:bidi="ar-SA"/>
              </w:rPr>
              <w:t>Liczba uczniów, którzy nabyli kwalifikacje po opuszczeniu programu – 50 osób</w:t>
            </w:r>
          </w:p>
          <w:p>
            <w:pPr>
              <w:pStyle w:val="Normal"/>
              <w:widowControl/>
              <w:spacing w:before="0" w:after="0"/>
              <w:jc w:val="left"/>
              <w:rPr>
                <w:rFonts w:eastAsia="Times New Roman" w:cs="Calibri" w:cstheme="minorHAnsi"/>
                <w:sz w:val="18"/>
                <w:szCs w:val="18"/>
                <w:lang w:eastAsia="pl-PL"/>
              </w:rPr>
            </w:pPr>
            <w:r>
              <w:rPr>
                <w:rFonts w:cs="Calibri" w:cstheme="minorHAnsi"/>
                <w:kern w:val="0"/>
                <w:sz w:val="18"/>
                <w:szCs w:val="18"/>
                <w:lang w:val="pl-PL" w:eastAsia="en-US" w:bidi="ar-SA"/>
              </w:rPr>
              <w:t xml:space="preserve">Liczba przedstawicieli kadry szkół i placówek systemu oświaty, którzy uzyskali kwalifikacje po opuszczeniu programu – 8 osób </w:t>
            </w:r>
          </w:p>
        </w:tc>
      </w:tr>
      <w:tr>
        <w:trPr>
          <w:trHeight w:val="566"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ZIT-WL-53</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Choceń</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Uczymy się z pasją!</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kw.2023-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264 658,82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264 658,82</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224 959,99</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39 698,83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3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3 podmioty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200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uczestniczących w doradztwie zawodowym – 50 osoby</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 xml:space="preserve">Liczba przedstawicieli kadry szkół i placówek systemu oświaty, którzy uzyskali kwalifikacje po opuszczeniu programu – </w:t>
            </w:r>
            <w:r>
              <w:rPr>
                <w:rFonts w:eastAsia="Times New Roman" w:cs="Calibri" w:cstheme="minorHAnsi"/>
                <w:color w:val="000000" w:themeColor="text1"/>
                <w:kern w:val="0"/>
                <w:sz w:val="18"/>
                <w:szCs w:val="18"/>
                <w:lang w:val="pl-PL" w:eastAsia="pl-PL" w:bidi="ar-SA"/>
              </w:rPr>
              <w:t>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200 osób</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ZIT-WL-54</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Kształcenie ogólne</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Miasto i Gmina Chodecz</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Poprawa oferty edukacyjnej w Szkole Podstawowej im. Tadeusza Kościuszki </w:t>
              <w:br/>
              <w:t>w Chodczu</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kw.2024- 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167 100,00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167 100,00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142 000,00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25 100,00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10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 podmiot</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 xml:space="preserve">Liczba uczniów szkół i placówek systemu oświaty prowadzących kształcenie ogólne objętych wsparciem – </w:t>
            </w:r>
            <w:r>
              <w:rPr>
                <w:rFonts w:eastAsia="Times New Roman" w:cs="Calibri" w:cstheme="minorHAnsi"/>
                <w:color w:val="000000" w:themeColor="text1"/>
                <w:kern w:val="0"/>
                <w:sz w:val="18"/>
                <w:szCs w:val="18"/>
                <w:lang w:val="pl-PL" w:eastAsia="pl-PL" w:bidi="ar-SA"/>
              </w:rPr>
              <w:t>100 osób</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Liczba uczniów uczestniczących w doradztwie zawodowym – 15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100 osób</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ZIT-WL-55</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Włocławek</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Organizacja zajęć</w:t>
              <w:br/>
              <w:t xml:space="preserve"> dla dzieci w wieku szkolnym</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 2023 - II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90 851,38</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90 851,38</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77 223,67</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13 627,71</w:t>
            </w:r>
          </w:p>
        </w:tc>
        <w:tc>
          <w:tcPr>
            <w:tcW w:w="3113" w:type="dxa"/>
            <w:tcBorders/>
            <w:shd w:color="auto" w:fill="FFFFFF" w:themeFill="background1" w:val="clear"/>
            <w:vAlign w:val="center"/>
          </w:tcPr>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produktu:</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obiektów edukacyjnych dostosowanych do potrzeb osób z niepełnosprawnościami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2 podmioty</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przedstawicieli kadry szkół i placówek systemu oświaty objętych wsparciem – 8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uczniów uczestniczących w doradztwie zawodowym – 100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ogólnodostępnych szkół i placówek systemu oświaty objętych wsparciem w zakresie edukacji włączającej – 2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uczniów szkół i placówek systemu oświaty prowadzących kształcenie ogólne objętych wsparciem – 100 osób</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przedstawicieli kadry szkół i placówek systemu oświaty, którzy uzyskali kwalifikacje po opuszczeniu programu – 8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100 osób</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ZIT-WL-56</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Fabianki</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Kompetencje kluczowe dla uczniów z gminy Fabianki</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kw.2026-  III kw.2027</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155 296,63</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155 296,63</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132 002,13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23 294,50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25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200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4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180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ZIT-WL-57</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Kształcenie ogólne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Fabianki</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Podniesienie kompetencji kluczowych uczniów szkół podstawowych </w:t>
              <w:br/>
              <w:t>z gminy Fabianki</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kw.2025-  III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169 316,62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169 316,62</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143 919,12</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25 397,50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25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4 podmioty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220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uczestniczących w doradztwie zawodowym – 15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215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ZIT-WL-58</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Lubraniec</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Wyrównywanie szans edukacyjnych poprzez podniesienie jakości</w:t>
              <w:br/>
              <w:t xml:space="preserve"> i efektywności kształcenia ogólnego w gminie Lubraniec</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 III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235 294,12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235 294,12</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35 294,12</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4 podmioty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17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45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15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 lub uczniów o specjalnych potrzebach rozwojowych i edukacyjnych, którzy zostali objęci usługami asystenta – 2 osoby</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uczestniczących w doradztwie zawodowym – 20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17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45 osób</w:t>
            </w:r>
          </w:p>
        </w:tc>
      </w:tr>
      <w:tr>
        <w:trPr>
          <w:trHeight w:val="566"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ZIT-WL-59</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Miasto Włocławek</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Dostosowanie kształcenia ogólnego do potrzeb rynku pracy</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1 338 429,63</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1 338 429,63</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1 137 665,18</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200 764,45</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1 200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11 podmiotów</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dzieci/uczniów o specjalnych potrzebach rozwojowych i edukacyjnych, objętych wsparciem – 200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przedstawicieli kadry szkół i placówek systemu oświaty objętych wsparciem – 170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uczniów uczestniczących w doradztwie zawodowym – 400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11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przedstawicieli kadry szkół i placówek systemu oświaty, którzy uzyskali kwalifikacje po opuszczeniu programu – 140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uczniów, którzy nabyli kwalifikacje po opuszczeniu programu – 840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ZIT-WL-60</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ogólne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Kształcenie ogólne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Lubanie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Poprawa jakości edukacji w Szkole Podstawowej </w:t>
              <w:br/>
              <w:t>w Lubaniu</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2024-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152 465,35</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152 465,35</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129 595,54</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22 869,81</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dzieci/uczniów o specjalnych potrzebach rozwojowych i edukacyjnych, objętych wsparciem – 20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 </w:t>
            </w:r>
            <w:r>
              <w:rPr>
                <w:rFonts w:eastAsia="Times New Roman" w:cs="Calibri" w:cstheme="minorHAnsi"/>
                <w:kern w:val="0"/>
                <w:sz w:val="18"/>
                <w:szCs w:val="18"/>
                <w:lang w:val="pl-PL" w:eastAsia="pl-PL" w:bidi="ar-SA"/>
              </w:rPr>
              <w:t>Liczba obiektów edukacyjnych dostosowanych do potrzeb osób z niepełnosprawnościami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ogólnodostępnych szkół i placówek systemu oświaty objętych wsparciem w zakresie edukacji włączającej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objętych wsparciem – 8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 podmiot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systemu oświaty prowadzących kształcenie ogólne objętych wsparciem – 60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przedstawicieli kadry szkół i placówek systemu oświaty, którzy uzyskali kwalifikacje po opuszczeniu programu – 6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40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ZIT-WL-61</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4(f)</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Kształcenie zawodowe</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Kształcenie zawodowe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Dostosowanie kształcenia zawodowego </w:t>
              <w:br/>
              <w:t>do potrzeb rynku pracy</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3 208 835,56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EFS</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3 208 835,56</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2 727 510,21</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481 325,35</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szkół i placówek systemu oświaty objętych wsparciem – 11 podmiotów</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szkół i placówek kształcenia zawodowego uczestniczących w stażach uczniowskich – 480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i słuchaczy szkół i placówek kształcenia zawodowego objętych wsparciem – 1 836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uczestniczących w doradztwie zawodowym – 1 400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Liczba przedstawicieli kadry szkół </w:t>
              <w:br/>
              <w:t>i placówek systemu oświaty, którzy uzyskali kwalifikacje po opuszczeniu programu – 100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uczniów, którzy nabyli kwalifikacje po opuszczeniu programu – 1 469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ZIT-WL-62</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4(v)</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Opieka zdrowotna</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Opieka zdrowotna</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Izbica Kujawska</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Remont pomieszczeń rehabilitacji w Izbicy Kujawskiej</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kw.2025- IV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152 941,17</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152 941,17</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130 000,00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22 941,17</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Pojemność́ nowych lub zmodernizowanych placówek opieki zdrowotnej – 800 osób/rok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7 500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podmiotów wykonujących działalność leczniczą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projektów, w których sfinansowano koszty racjonalnych usprawnień dla osób z niepełnosprawnościami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dostosowanych do potrzeb osób z niepełnosprawnościami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Roczna liczba użytkowników nowych lub zmodernizowanych placówek opieki zdrowotnej – 800 użytkownicy/rok</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ZIT-WL-63</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CP4</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4(v)</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Opieka zdrowotna</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Opieka zdrowotna</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Powiat Włocławski</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Zakup aparatu rezonansu magnetycznego wraz z dostosowaniem pomieszczeń przy Powiatowym Centrum Zdrowia</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2023-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1 609 446,56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1 609 446,56</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1 368 029,58</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241 416,98</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podmiotów wykonujących działalność leczniczą – 1szt.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80 000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Pojemność́ nowych lub zmodernizowanych placówek opieki zdrowotnej – 1000 osób/rok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wspartych podmiotów leczniczych udzielających świadczeń w zakresie ambulatoryjnej opieki specjalistycznej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Roczna liczba użytkowników nowych lub zmodernizowanych placówek opieki zdrowotnej – 1 000 użytkowników/rok</w:t>
            </w:r>
          </w:p>
        </w:tc>
      </w:tr>
      <w:tr>
        <w:trPr>
          <w:trHeight w:val="453" w:hRule="atLeast"/>
        </w:trPr>
        <w:tc>
          <w:tcPr>
            <w:tcW w:w="12615" w:type="dxa"/>
            <w:gridSpan w:val="10"/>
            <w:tcBorders>
              <w:top w:val="nil"/>
            </w:tcBorders>
            <w:shd w:color="auto" w:fill="75B4F3" w:val="clear"/>
            <w:vAlign w:val="center"/>
          </w:tcPr>
          <w:p>
            <w:pPr>
              <w:pStyle w:val="Normal"/>
              <w:widowControl/>
              <w:spacing w:before="0" w:after="0"/>
              <w:jc w:val="center"/>
              <w:rPr>
                <w:rFonts w:cs="Calibri" w:cstheme="minorHAnsi"/>
              </w:rPr>
            </w:pPr>
            <w:r>
              <w:rPr>
                <w:rFonts w:cs=""/>
                <w:b/>
                <w:bCs/>
                <w:kern w:val="0"/>
                <w:sz w:val="22"/>
                <w:szCs w:val="22"/>
                <w:lang w:val="pl-PL" w:eastAsia="en-US" w:bidi="ar-SA"/>
              </w:rPr>
              <w:t>Razem CP4</w:t>
            </w:r>
          </w:p>
        </w:tc>
        <w:tc>
          <w:tcPr>
            <w:tcW w:w="1560" w:type="dxa"/>
            <w:tcBorders/>
            <w:shd w:color="auto" w:fill="75B4F3" w:val="clear"/>
            <w:vAlign w:val="center"/>
          </w:tcPr>
          <w:p>
            <w:pPr>
              <w:pStyle w:val="Normal"/>
              <w:widowControl/>
              <w:spacing w:before="0" w:after="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12 033 099,92</w:t>
            </w:r>
          </w:p>
        </w:tc>
        <w:tc>
          <w:tcPr>
            <w:tcW w:w="708" w:type="dxa"/>
            <w:tcBorders/>
            <w:shd w:color="auto" w:fill="75B4F3" w:val="clear"/>
            <w:vAlign w:val="center"/>
          </w:tcPr>
          <w:p>
            <w:pPr>
              <w:pStyle w:val="Normal"/>
              <w:widowControl/>
              <w:spacing w:before="0" w:after="0"/>
              <w:jc w:val="center"/>
              <w:rPr>
                <w:rFonts w:eastAsia="Times New Roman" w:cs="Calibri" w:cstheme="minorHAnsi"/>
                <w:lang w:eastAsia="pl-PL"/>
              </w:rPr>
            </w:pPr>
            <w:r>
              <w:rPr>
                <w:rFonts w:eastAsia="Times New Roman" w:cs="Calibri" w:cstheme="minorHAnsi"/>
                <w:kern w:val="0"/>
                <w:sz w:val="22"/>
                <w:szCs w:val="22"/>
                <w:lang w:val="pl-PL" w:eastAsia="pl-PL" w:bidi="ar-SA"/>
              </w:rPr>
            </w:r>
          </w:p>
        </w:tc>
        <w:tc>
          <w:tcPr>
            <w:tcW w:w="1560" w:type="dxa"/>
            <w:tcBorders>
              <w:top w:val="nil"/>
            </w:tcBorders>
            <w:shd w:color="auto" w:fill="75B4F3" w:val="clear"/>
            <w:vAlign w:val="center"/>
          </w:tcPr>
          <w:p>
            <w:pPr>
              <w:pStyle w:val="Normal"/>
              <w:widowControl/>
              <w:spacing w:before="0" w:after="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12 033 099,92</w:t>
            </w:r>
          </w:p>
        </w:tc>
        <w:tc>
          <w:tcPr>
            <w:tcW w:w="1558" w:type="dxa"/>
            <w:tcBorders>
              <w:top w:val="nil"/>
            </w:tcBorders>
            <w:shd w:color="auto" w:fill="75B4F3" w:val="clear"/>
            <w:vAlign w:val="center"/>
          </w:tcPr>
          <w:p>
            <w:pPr>
              <w:pStyle w:val="Normal"/>
              <w:widowControl/>
              <w:spacing w:before="0" w:after="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10 138 513,66</w:t>
            </w:r>
          </w:p>
        </w:tc>
        <w:tc>
          <w:tcPr>
            <w:tcW w:w="1561" w:type="dxa"/>
            <w:tcBorders/>
            <w:shd w:color="auto" w:fill="75B4F3" w:val="clear"/>
            <w:vAlign w:val="center"/>
          </w:tcPr>
          <w:p>
            <w:pPr>
              <w:pStyle w:val="Normal"/>
              <w:widowControl/>
              <w:spacing w:before="0" w:after="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1 894 586,26</w:t>
            </w:r>
          </w:p>
        </w:tc>
        <w:tc>
          <w:tcPr>
            <w:tcW w:w="3113" w:type="dxa"/>
            <w:tcBorders/>
            <w:shd w:color="auto" w:fill="75B4F3" w:val="clear"/>
            <w:vAlign w:val="center"/>
          </w:tcPr>
          <w:p>
            <w:pPr>
              <w:pStyle w:val="Normal"/>
              <w:widowControl/>
              <w:spacing w:before="0" w:after="0"/>
              <w:jc w:val="left"/>
              <w:rPr>
                <w:rFonts w:eastAsia="Times New Roman" w:cs="Calibri" w:cstheme="minorHAnsi"/>
                <w:lang w:eastAsia="pl-PL"/>
              </w:rPr>
            </w:pPr>
            <w:r>
              <w:rPr>
                <w:rFonts w:eastAsia="Times New Roman" w:cs="Calibri" w:cstheme="minorHAnsi"/>
                <w:kern w:val="0"/>
                <w:sz w:val="22"/>
                <w:szCs w:val="22"/>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ZIT-WL-64</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Tereny inwestycyjne</w:t>
            </w:r>
          </w:p>
        </w:tc>
        <w:tc>
          <w:tcPr>
            <w:tcW w:w="1984" w:type="dxa"/>
            <w:tcBorders/>
            <w:shd w:color="auto" w:fill="FFFFFF" w:themeFill="background1" w:val="clear"/>
            <w:vAlign w:val="center"/>
          </w:tcPr>
          <w:p>
            <w:pPr>
              <w:pStyle w:val="Normal"/>
              <w:widowControl/>
              <w:spacing w:lineRule="auto" w:line="276" w:before="0" w:after="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Choceń</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Uzbrojenie terenów inwestycyjnych </w:t>
              <w:br/>
              <w:t>w MOF Włocławek - rozwój gospodarczy gminy Choceń</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kw.2025- IV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360 086,12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292 752,94</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248 840,00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111 246,12</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przygotowanych terenów inwestycyjnych – 70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Zintegrowane projekty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1916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inwestycji zlokalizowanych na przygotowanych terenach inwestycyjnych – 1 szt.</w:t>
            </w:r>
          </w:p>
        </w:tc>
      </w:tr>
      <w:tr>
        <w:trPr>
          <w:trHeight w:val="2673"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ZIT-WL-65</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Tereny inwestycyjne</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Wsparcie trwałego rozwoju i konkurencyjności gospodarki obszaru MOF</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Lubień Kujawski</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Uzbrojenie terenów inwestycyjnych gminy Lubień Kujawski</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 2023- IV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208 862,00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208 862,00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177 532,00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31 330,00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550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przygotowanych terenów inwestycyjnych – 18,73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inwestycji zlokalizowanych na przygotowanych terenach inwestycyjnych – 1 szt.</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ZIT-WL-66</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instytucji kultury</w:t>
            </w:r>
          </w:p>
        </w:tc>
        <w:tc>
          <w:tcPr>
            <w:tcW w:w="1984" w:type="dxa"/>
            <w:tcBorders/>
            <w:shd w:color="auto" w:fill="FFFFFF" w:themeFill="background1" w:val="clear"/>
            <w:vAlign w:val="center"/>
          </w:tcPr>
          <w:p>
            <w:pPr>
              <w:pStyle w:val="Normal"/>
              <w:widowControl/>
              <w:spacing w:lineRule="auto" w:line="276" w:before="0" w:after="0"/>
              <w:jc w:val="left"/>
              <w:rPr>
                <w:rFonts w:cs="Calibri" w:cstheme="minorHAnsi"/>
                <w:sz w:val="18"/>
                <w:szCs w:val="18"/>
              </w:rPr>
            </w:pPr>
            <w:r>
              <w:rPr>
                <w:rFonts w:cs=""/>
                <w:kern w:val="0"/>
                <w:sz w:val="18"/>
                <w:szCs w:val="18"/>
                <w:lang w:val="pl-PL" w:eastAsia="en-US" w:bidi="ar-SA"/>
              </w:rPr>
              <w:t>Wsparcie instytucji kultury</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Miasto i Gmina Chodecz</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Rozwój kultury na terenie Miasta</w:t>
              <w:br/>
              <w:t xml:space="preserve"> i Gminy Chodecz</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59 000,00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59 000,00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100 osób odwiedzających/rok</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ZIT-WL-67</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instytucji kultury</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Wsparcie instytucji kultury</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Lubraniec</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Budowa i rozbudowa instytucji kultury</w:t>
              <w:br/>
              <w:t xml:space="preserve"> na terenie gminy Lubraniec</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470 588,00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470 588,00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400 000,00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70 588,00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instytucji kultury objętych wsparciem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dostoswanych do potrzeb osób z niepełnosprawnościami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projektów, w których sfinansowano koszty racjonalnych usprawnień dla osób z niepełnosprawnościami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Zintegrowane projekty rozwoju terytorialnego – 1 szt. </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500 osób odwiedzających/rok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ZIT-WL-68</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instytucji kultury</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Wsparcie instytucji kultury</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Izbica Kujawska</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Przebudowa, remont oraz zakup wyposażenia</w:t>
              <w:br/>
              <w:t xml:space="preserve"> na potrzeby prowadzenia edukacji kulturalnej</w:t>
              <w:br/>
              <w:t xml:space="preserve"> w Miejsko-Gminnym Centrum Kultury </w:t>
              <w:br/>
              <w:t>w Izbicy Kujawskiej</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282 352,94</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282 352,94</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240 000,00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42 352,94</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Ludność objęta projektami w ramach strategii zintegrowanego rozwoju terytorialnego – 7 500 osób</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instytucji kultury objętych wsparciem – 1 szt.</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800 osób odwiedzających/rok</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ZIT-WL-69</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instytucji kultury</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Wsparcie instytucji kultury</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Kowal</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Centrum Życia Społecznego - adaptacja Biblioteki Publicznej w miejscowości Grabkowo</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117 647,06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117 647,06</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17 647,06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instytucji kultury objętych wsparciem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Liczba obiektów dostosowanych do potrzeb osób  niepełnosprawnościami – 1 sz.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Zintegrowane projekty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projektów, w których sfinansowano koszty racjonalnych usprawnień dla osób z niepełnosprawnościami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- 200 osób odwiedzających/rok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ZIT-WL-70</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instytucji kultury</w:t>
            </w:r>
          </w:p>
        </w:tc>
        <w:tc>
          <w:tcPr>
            <w:tcW w:w="1984" w:type="dxa"/>
            <w:tcBorders/>
            <w:shd w:color="auto" w:fill="FFFFFF" w:themeFill="background1" w:val="clear"/>
            <w:vAlign w:val="center"/>
          </w:tcPr>
          <w:p>
            <w:pPr>
              <w:pStyle w:val="Normal"/>
              <w:widowControl/>
              <w:spacing w:lineRule="auto" w:line="276" w:before="0" w:after="0"/>
              <w:jc w:val="center"/>
              <w:rPr>
                <w:rFonts w:cs="Calibri" w:cstheme="minorHAnsi"/>
                <w:sz w:val="18"/>
                <w:szCs w:val="18"/>
              </w:rPr>
            </w:pPr>
            <w:r>
              <w:rPr>
                <w:rFonts w:cs=""/>
                <w:kern w:val="0"/>
                <w:sz w:val="18"/>
                <w:szCs w:val="18"/>
                <w:lang w:val="pl-PL" w:eastAsia="en-US" w:bidi="ar-SA"/>
              </w:rPr>
              <w:t>Wsparcie instytucji kultury</w:t>
            </w:r>
          </w:p>
        </w:tc>
        <w:tc>
          <w:tcPr>
            <w:tcW w:w="1701"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Baruchowo</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Upowszechnianie działalności kulturowej na terenie Gminy Baruchowo</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111 500,00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88 500,00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Ludność́ objęta projektami w ramach strategii zintegrowanego rozwoju terytorialnego – 500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- 500 osób odwiedzających/rok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ZIT-WL-71</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instytucji kultury</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Wsparcie instytucji kultury</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Lubanie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działalności Gminnego Ośrodka Kultury w Lubaniu</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2024- II kw. 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236 806,00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236 806,00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201 285,00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35 521,00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500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instytucji kultury objętych wsparciem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- 500 osób odwiedzających/rok</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ZIT-WL-72</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instytucji kultury</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Wsparcie instytucji kultury</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Włocławek</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Doposażenie instytucji kultury</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III kw. 2023- III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523 214,12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523 214,12</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444 732,00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78 482,12</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4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200 osób</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- 200 osób odwiedzających/rok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ZIT-WL-73</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rozwoju turystyki</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 xml:space="preserve">Rozwój turystyki  </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Miasto i Gmina Chodecz</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Rozwój turystyki na terenie Miasta</w:t>
              <w:br/>
              <w:t xml:space="preserve"> i Gminy Chodecz</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59 000,00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59 000,00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50 000,00</w:t>
            </w:r>
          </w:p>
        </w:tc>
        <w:tc>
          <w:tcPr>
            <w:tcW w:w="1561"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4 szt.</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 xml:space="preserve">Ludność objęta projektami w ramach strategii zintegrowanego rozwoju terytorialnego  - </w:t>
            </w:r>
            <w:r>
              <w:rPr>
                <w:rFonts w:eastAsia="Times New Roman" w:cs="Calibri" w:cstheme="minorHAnsi"/>
                <w:color w:val="000000" w:themeColor="text1"/>
                <w:kern w:val="0"/>
                <w:sz w:val="18"/>
                <w:szCs w:val="18"/>
                <w:lang w:val="pl-PL" w:eastAsia="pl-PL" w:bidi="ar-SA"/>
              </w:rPr>
              <w:t>100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Długość utworzonych szlaków turystycznych - 2 km</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 xml:space="preserve">Liczba osób odwiedzających obiekty kulturalne i turystyczne objęte wsparciem - </w:t>
            </w:r>
            <w:r>
              <w:rPr>
                <w:rFonts w:eastAsia="Times New Roman" w:cs="Calibri" w:cstheme="minorHAnsi"/>
                <w:color w:val="000000" w:themeColor="text1"/>
                <w:kern w:val="0"/>
                <w:sz w:val="18"/>
                <w:szCs w:val="18"/>
                <w:lang w:val="pl-PL" w:eastAsia="pl-PL" w:bidi="ar-SA"/>
              </w:rPr>
              <w:t>100 osób odwiedzających/rok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ZIT-WL-74</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rozwoju turystyki</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 xml:space="preserve">Rozwój turystyki  </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Baruchowo</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Rozbudowa infrastruktury turystycznej na terenie gminy Baruchowo</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50 000,00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Ludność́ objęta projektami w ramach strategii zintegrowanego rozwoju terytorialnego – 400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- 400 osób odwiedzających/rok</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ZIT-WL-75</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rozwoju turystyki</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 xml:space="preserve">Rozwój turystyki  </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Izbica Kujawska</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Rozwój infrastruktury turystycznej, rekreacyjnej wraz</w:t>
              <w:br/>
              <w:t xml:space="preserve"> z zakupem wyposażenia i sprzętu na terenie Gminy Izbica Kujawska</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kw.2025- IV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178 390,38</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178 390,38</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151 631,83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26 758,55</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Ludność́ objęta projektami w ramach strategii zintegrowanego rozwoju terytorialnego – 7 500 osób</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- 500 osób odwiedzających/rok</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ZIT-WL-76</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Wsparcie rozwoju turystyki</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 xml:space="preserve">Rozwój turystyki  </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Lubraniec</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Rozwój infrastruktury i promocja oferty turystycznej w Gminie Lubraniec</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481 181,51</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481 181,51</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409 004,28</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72 177,23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Wspierana infrastruktura rowerowa – 3,5 km</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kulturalnych i turystycznych objętych wsparciem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odwiedzających obiekty kulturalne i turystyczne objęte wsparciem - 500 osób odwiedzających/rok</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Roczna liczba użytkowników infrastruktury rowerowej – 100 osob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ZIT-WL-77</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Rewitalizacja**</w:t>
            </w:r>
          </w:p>
        </w:tc>
        <w:tc>
          <w:tcPr>
            <w:tcW w:w="1984" w:type="dxa"/>
            <w:tcBorders/>
            <w:shd w:color="auto" w:fill="FFFFFF" w:themeFill="background1" w:val="clear"/>
            <w:vAlign w:val="center"/>
          </w:tcPr>
          <w:p>
            <w:pPr>
              <w:pStyle w:val="Normal"/>
              <w:widowControl/>
              <w:spacing w:before="0" w:after="0"/>
              <w:jc w:val="left"/>
              <w:rPr>
                <w:rFonts w:cs="Calibri" w:cstheme="minorHAnsi"/>
                <w:b/>
                <w:bCs/>
                <w:sz w:val="18"/>
                <w:szCs w:val="18"/>
              </w:rPr>
            </w:pPr>
            <w:r>
              <w:rPr>
                <w:rFonts w:cs="Calibri" w:cstheme="minorHAnsi"/>
                <w:color w:val="000000" w:themeColor="text1"/>
                <w:kern w:val="0"/>
                <w:sz w:val="18"/>
                <w:szCs w:val="18"/>
                <w:lang w:val="pl-PL" w:eastAsia="en-US" w:bidi="ar-SA"/>
              </w:rPr>
              <w:t xml:space="preserve"> </w:t>
            </w:r>
            <w:r>
              <w:rPr>
                <w:rFonts w:cs="Calibri" w:cstheme="minorHAnsi"/>
                <w:color w:val="000000" w:themeColor="text1"/>
                <w:kern w:val="0"/>
                <w:sz w:val="18"/>
                <w:szCs w:val="18"/>
                <w:lang w:val="pl-PL" w:eastAsia="en-US" w:bidi="ar-SA"/>
              </w:rPr>
              <w:t>Rewitalizacja</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Miasto Włocławek</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3 Maja woonerfem</w:t>
            </w:r>
          </w:p>
        </w:tc>
        <w:tc>
          <w:tcPr>
            <w:tcW w:w="991" w:type="dxa"/>
            <w:tcBorders/>
            <w:shd w:color="auto" w:fill="FFFFFF" w:themeFill="background1" w:val="clear"/>
            <w:vAlign w:val="center"/>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III kw.2023- III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4 036 084,09</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4 036 084,09</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2 000 695,46</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2 035 388,63</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color w:val="000000" w:themeColor="text1"/>
                <w:sz w:val="18"/>
                <w:szCs w:val="18"/>
                <w:u w:val="single"/>
                <w:lang w:eastAsia="pl-PL"/>
              </w:rPr>
            </w:pPr>
            <w:r>
              <w:rPr>
                <w:rFonts w:eastAsia="Times New Roman" w:cs="Calibri" w:cstheme="minorHAnsi"/>
                <w:color w:val="000000" w:themeColor="text1"/>
                <w:kern w:val="0"/>
                <w:sz w:val="18"/>
                <w:szCs w:val="18"/>
                <w:u w:val="single"/>
                <w:lang w:val="pl-PL" w:eastAsia="pl-PL" w:bidi="ar-SA"/>
              </w:rPr>
              <w:t>Wskaźnik produktu:</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Ludność objęta projektami w ramach strategii zintegrowanego rozwoju terytorialnego – 100 000 osób</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Powierzchnia obszarów objętych rewitalizacją – 1,0935 ha</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Otwarta przestrzeń utworzona lub rekultywowana na obszarach miejskich – 10 935,8 m</w:t>
            </w:r>
            <w:r>
              <w:rPr>
                <w:rFonts w:eastAsia="Times New Roman" w:cs="Calibri" w:cstheme="minorHAnsi"/>
                <w:color w:val="000000" w:themeColor="text1"/>
                <w:kern w:val="0"/>
                <w:sz w:val="18"/>
                <w:szCs w:val="18"/>
                <w:vertAlign w:val="superscript"/>
                <w:lang w:val="pl-PL" w:eastAsia="pl-PL" w:bidi="ar-SA"/>
              </w:rPr>
              <w:t>2</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color w:val="000000" w:themeColor="text1"/>
                <w:sz w:val="18"/>
                <w:szCs w:val="18"/>
                <w:u w:val="single"/>
                <w:lang w:eastAsia="pl-PL"/>
              </w:rPr>
            </w:pPr>
            <w:r>
              <w:rPr>
                <w:rFonts w:eastAsia="Times New Roman" w:cs="Calibri" w:cstheme="minorHAnsi"/>
                <w:color w:val="000000" w:themeColor="text1"/>
                <w:kern w:val="0"/>
                <w:sz w:val="18"/>
                <w:szCs w:val="18"/>
                <w:u w:val="single"/>
                <w:lang w:val="pl-PL" w:eastAsia="pl-PL" w:bidi="ar-SA"/>
              </w:rPr>
              <w:t>Wskaźnik rezultatu:</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Liczba ludności zamieszkującej obszar rewitalizacji – 4255 osób</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color w:val="000000" w:themeColor="text1"/>
                <w:kern w:val="0"/>
                <w:sz w:val="18"/>
                <w:szCs w:val="18"/>
                <w:lang w:val="pl-PL" w:eastAsia="pl-PL" w:bidi="ar-SA"/>
              </w:rPr>
              <w:t>Liczba przedsiębiorstw ulokowanych na zrewitalizowanych obszarach – 61 szt.</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ZIT-WL-78</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Lubanie</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publicznej poprzez modernizację obiektów użyteczności publicznej na potrzeby społeczności lokalnej</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 2024- II kw. 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148 856,00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148 856,00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126 527,00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22 329,00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4 442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obszarów objętych odnową przestrzeni publicznych – 0,83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dostosowanych do potrzeb osób z niepełnosprawnościami – 2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220 szt.</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ZIT-WL-79</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Choceń</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 na terenie gminy Choceń</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205 882,00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205 882,00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175 000,00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30 882,00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1 000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 xml:space="preserve">Liczba obiektów infrastrukturalnych wspartych w ramach odnowy przestrzeni publicznych </w:t>
            </w:r>
            <w:r>
              <w:rPr>
                <w:rFonts w:eastAsia="Times New Roman" w:cs="Calibri" w:cstheme="minorHAnsi"/>
                <w:color w:val="000000" w:themeColor="text1"/>
                <w:kern w:val="0"/>
                <w:sz w:val="18"/>
                <w:szCs w:val="18"/>
                <w:lang w:val="pl-PL" w:eastAsia="pl-PL" w:bidi="ar-SA"/>
              </w:rPr>
              <w:t>– 7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obszarów objętych odnową przestrzeni publicznych – 1,14 ha</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1 000 szt.</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ZIT-WL-80</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Kowal</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publicznej w miejscowości Więsławice</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kw.2025-</w:t>
              <w:br/>
              <w:t>I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117 647,06</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117 647,06</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100 000,00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17 647,06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 200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obszarów objętych odnowa przestrzeni publicznych – 1,5 ha</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200 szt.</w:t>
            </w:r>
          </w:p>
        </w:tc>
      </w:tr>
      <w:tr>
        <w:trPr>
          <w:trHeight w:val="2252"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ZIT-WL-81</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lineRule="auto" w:line="276" w:before="0" w:after="0"/>
              <w:jc w:val="both"/>
              <w:rPr>
                <w:rFonts w:cs="Calibri" w:cstheme="minorHAnsi"/>
                <w:sz w:val="18"/>
                <w:szCs w:val="18"/>
              </w:rPr>
            </w:pPr>
            <w:r>
              <w:rPr>
                <w:rFonts w:cs=""/>
                <w:kern w:val="0"/>
                <w:sz w:val="18"/>
                <w:szCs w:val="18"/>
                <w:lang w:val="pl-PL" w:eastAsia="en-US" w:bidi="ar-SA"/>
              </w:rPr>
              <w:t>Odnowa przestrzeni publicznych</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Brześć Kujawski</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publicznej na obszarze miasta Brześć Kujawski</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202 440,94</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202 440,94</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172 074,80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30 366,14</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4 426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obszarów objętych  odnowa przestrzeni publicznych – 1,18 ha</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4 426 szt.</w:t>
            </w:r>
          </w:p>
        </w:tc>
      </w:tr>
      <w:tr>
        <w:trPr>
          <w:trHeight w:val="699"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bookmarkStart w:id="202" w:name="_Hlk141775895"/>
            <w:r>
              <w:rPr>
                <w:rFonts w:eastAsia="Times New Roman" w:cs="Calibri" w:cstheme="minorHAnsi"/>
                <w:kern w:val="0"/>
                <w:sz w:val="18"/>
                <w:szCs w:val="18"/>
                <w:lang w:val="pl-PL" w:eastAsia="pl-PL" w:bidi="ar-SA"/>
              </w:rPr>
              <w:t>ZIT-WL-82</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Miasto i Gmina Chodecz</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Odnowa przestrzeni publicznych </w:t>
              <w:br/>
              <w:t>na terenie Miasta</w:t>
              <w:br/>
              <w:t xml:space="preserve"> i Gminy Chodecz</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kw.2026</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180 000,00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180 000,00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153 045,00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26 955,00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 xml:space="preserve">Wskaźnik produktu: </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7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Powierzchnią obszarów objętych odnową przestrzeni publicznych – 1,7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Otwarta przestrzeń utworzona lub rekultywowana na obszarach miejskich – 500m</w:t>
            </w:r>
            <w:r>
              <w:rPr>
                <w:rFonts w:eastAsia="Times New Roman" w:cs="Calibri" w:cstheme="minorHAnsi"/>
                <w:kern w:val="0"/>
                <w:sz w:val="18"/>
                <w:szCs w:val="18"/>
                <w:vertAlign w:val="superscript"/>
                <w:lang w:val="pl-PL" w:eastAsia="pl-PL" w:bidi="ar-SA"/>
              </w:rPr>
              <w:t>2</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bookmarkStart w:id="203" w:name="_Hlk141775895"/>
            <w:r>
              <w:rPr>
                <w:rFonts w:eastAsia="Times New Roman" w:cs="Calibri" w:cstheme="minorHAnsi"/>
                <w:kern w:val="0"/>
                <w:sz w:val="18"/>
                <w:szCs w:val="18"/>
                <w:lang w:val="pl-PL" w:eastAsia="pl-PL" w:bidi="ar-SA"/>
              </w:rPr>
              <w:t>Liczba osób korzystających z obszarów publicznych objętych wsparciem – 200 osób</w:t>
            </w:r>
            <w:bookmarkEnd w:id="203"/>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ZIT-WL-83</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Izbica Kujawska</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 na terenie Gminy Izbica Kujawska</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284 907,89</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284 907,89</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242 171,71</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42 736,18</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7 500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Powierzchnia obszarów objętych odnową przestrzeni publicznych – 19,26 ha</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Liczba obiektów infrastrukturalnych wspartych w ramach odnowy przestrzeni publicznych – 3 szt.</w:t>
            </w:r>
          </w:p>
          <w:p>
            <w:pPr>
              <w:pStyle w:val="Normal"/>
              <w:widowControl/>
              <w:spacing w:before="0" w:after="0"/>
              <w:jc w:val="left"/>
              <w:rPr>
                <w:rFonts w:cs="Calibri" w:cstheme="minorHAnsi"/>
                <w:sz w:val="18"/>
                <w:szCs w:val="18"/>
                <w:u w:val="single"/>
              </w:rPr>
            </w:pPr>
            <w:r>
              <w:rPr>
                <w:rFonts w:cs="Calibri" w:cstheme="minorHAnsi"/>
                <w:kern w:val="0"/>
                <w:sz w:val="18"/>
                <w:szCs w:val="18"/>
                <w:u w:val="single"/>
                <w:lang w:val="pl-PL" w:eastAsia="en-US"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1 000 szt.</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ZIT-WL-84</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Lubień Kujawski</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publicznej w Lubieniu Kujawskim</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 2024- II kw. 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204 152,00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204 152,00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173 529,00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30 623,00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1 000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obszarów objętych odnową przestrzeni publicznych – 2,65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2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450 szt.</w:t>
            </w:r>
          </w:p>
        </w:tc>
      </w:tr>
      <w:tr>
        <w:trPr>
          <w:trHeight w:val="567" w:hRule="atLeast"/>
        </w:trPr>
        <w:tc>
          <w:tcPr>
            <w:tcW w:w="993"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ZIT-WL-85</w:t>
            </w:r>
          </w:p>
        </w:tc>
        <w:tc>
          <w:tcPr>
            <w:tcW w:w="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Lubraniec</w:t>
            </w:r>
          </w:p>
        </w:tc>
        <w:tc>
          <w:tcPr>
            <w:tcW w:w="1701" w:type="dxa"/>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 xml:space="preserve">Odnowa przestrzeni publicznej na terenie Parku Kulturowego </w:t>
              <w:br/>
              <w:t>w Sarnowie</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kw.2024- IV kw.2024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257 100,00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257 100,00</w:t>
            </w:r>
          </w:p>
        </w:tc>
        <w:tc>
          <w:tcPr>
            <w:tcW w:w="1558" w:type="dxa"/>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218 470,00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38 630,00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obszarów objętych odnową przestrzeni publicznych – 48,31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500 szt.</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ZIT-WL-86</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Włocławek</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publicznej na terenie Gminy Włocławek</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NIE</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2023- III kw. 2024</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424 030,14</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424 030,14</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360 425,62</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63 604,52</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200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publicznej – 11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Powierzchnia obszarów objętych odnowa przestrzeni publicznej – 1ha</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200 szt.</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ZIT-WL-87</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Boniewo</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Rewitalizacja - odnowa przestrzeni publicznej na terenie Gminy Boniewo</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2024- IV kw. 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167 435,52</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167 435,52</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142 320,20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25 115,32</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color w:val="000000" w:themeColor="text1"/>
                <w:sz w:val="18"/>
                <w:szCs w:val="18"/>
                <w:lang w:eastAsia="pl-PL"/>
              </w:rPr>
            </w:pPr>
            <w:r>
              <w:rPr>
                <w:rFonts w:eastAsia="Times New Roman" w:cs="Calibri" w:cstheme="minorHAnsi"/>
                <w:kern w:val="0"/>
                <w:sz w:val="18"/>
                <w:szCs w:val="18"/>
                <w:lang w:val="pl-PL" w:eastAsia="pl-PL" w:bidi="ar-SA"/>
              </w:rPr>
              <w:t xml:space="preserve">Powierzchnia obszarów objętych odnową przestrzeni publicznych </w:t>
            </w:r>
            <w:r>
              <w:rPr>
                <w:rFonts w:eastAsia="Times New Roman" w:cs="Calibri" w:cstheme="minorHAnsi"/>
                <w:color w:val="000000" w:themeColor="text1"/>
                <w:kern w:val="0"/>
                <w:sz w:val="18"/>
                <w:szCs w:val="18"/>
                <w:lang w:val="pl-PL" w:eastAsia="pl-PL" w:bidi="ar-SA"/>
              </w:rPr>
              <w:t>-  2 ha</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50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publicznej – 2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projektów, w których sfinansowano koszty racjonalnych usprawnień dla osób z niepełnosprawnościami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50 osób</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ZIT-WL-88</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Odnowa przestrzeni publicznych</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Fabianki</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publicznej w gminie Fabianki</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kw.2025- IV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90 850,59</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90 850,59</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77 223,00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13 627,59</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Ludność objęta projektami w ramach strategii zintegrowanego rozwoju terytorialnego – 150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osób korzystających z obszarów publicznych objętych wsparciem – 150 szt.</w:t>
            </w:r>
          </w:p>
        </w:tc>
      </w:tr>
      <w:tr>
        <w:trPr>
          <w:trHeight w:val="699"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ZIT-WL-89</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Odnowa przestrzeni publicznych***</w:t>
            </w:r>
          </w:p>
        </w:tc>
        <w:tc>
          <w:tcPr>
            <w:tcW w:w="1984" w:type="dxa"/>
            <w:tcBorders/>
            <w:shd w:color="auto" w:fill="FFFFFF" w:themeFill="background1" w:val="clear"/>
            <w:vAlign w:val="center"/>
          </w:tcPr>
          <w:p>
            <w:pPr>
              <w:pStyle w:val="Normal"/>
              <w:widowControl/>
              <w:spacing w:before="0" w:after="0"/>
              <w:jc w:val="left"/>
              <w:rPr>
                <w:rFonts w:cs="Calibri" w:cstheme="minorHAnsi"/>
                <w:sz w:val="18"/>
                <w:szCs w:val="18"/>
              </w:rPr>
            </w:pPr>
            <w:r>
              <w:rPr>
                <w:rFonts w:cs=""/>
                <w:kern w:val="0"/>
                <w:sz w:val="18"/>
                <w:szCs w:val="18"/>
                <w:lang w:val="pl-PL" w:eastAsia="en-US" w:bidi="ar-SA"/>
              </w:rPr>
              <w:t>Odnowa przestrzeni publicznych</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Gmina Baruchowo</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Zagospodarowanie terenów przestrzeni publicznej</w:t>
            </w:r>
          </w:p>
        </w:tc>
        <w:tc>
          <w:tcPr>
            <w:tcW w:w="991"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kw.2025- II kw.2025</w:t>
            </w:r>
          </w:p>
        </w:tc>
        <w:tc>
          <w:tcPr>
            <w:tcW w:w="1560"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200 000,00</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200 000,00</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170 000,00</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30 000,00</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Liczba obiektów infrastrukturalnych wspartych w ramach odnowy przestrzeni publicznych – 4 szt.</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Ludność objęta projektami w ramach strategii zintegrowanego rozwoju terytorialnego – 600 osób</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cs="Calibri" w:cstheme="minorHAnsi"/>
                <w:sz w:val="18"/>
                <w:szCs w:val="18"/>
              </w:rPr>
            </w:pPr>
            <w:r>
              <w:rPr>
                <w:rFonts w:eastAsia="Times New Roman" w:cs="Calibri" w:cstheme="minorHAnsi"/>
                <w:kern w:val="0"/>
                <w:sz w:val="18"/>
                <w:szCs w:val="18"/>
                <w:lang w:val="pl-PL" w:eastAsia="pl-PL" w:bidi="ar-SA"/>
              </w:rPr>
              <w:t>Liczba osób korzystających z obszarów publicznych objętych wsparciem – 800 szt.</w:t>
            </w:r>
          </w:p>
        </w:tc>
      </w:tr>
      <w:tr>
        <w:trPr>
          <w:trHeight w:val="505" w:hRule="atLeast"/>
        </w:trPr>
        <w:tc>
          <w:tcPr>
            <w:tcW w:w="993"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ZIT-WL-90</w:t>
            </w:r>
          </w:p>
        </w:tc>
        <w:tc>
          <w:tcPr>
            <w:tcW w:w="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5(i)</w:t>
            </w:r>
          </w:p>
        </w:tc>
        <w:tc>
          <w:tcPr>
            <w:tcW w:w="1844" w:type="dxa"/>
            <w:tcBorders>
              <w:top w:val="nil"/>
            </w:tcBorders>
            <w:shd w:color="auto" w:fill="auto" w:val="clear"/>
            <w:vAlign w:val="center"/>
          </w:tcPr>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Wsparcie administracyjne gmin w ramach Polityki Terytorialnej</w:t>
            </w:r>
          </w:p>
        </w:tc>
        <w:tc>
          <w:tcPr>
            <w:tcW w:w="1984" w:type="dxa"/>
            <w:tcBorders/>
            <w:shd w:color="auto" w:fill="FFFFFF" w:themeFill="background1" w:val="clear"/>
          </w:tcPr>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Wsparcie administracyjne</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Stowarzyszenie WŁOF– Zintegrowane Inwestycje terytorialne Miejskiego Obszaru Funkcjonalnego Włocławka</w:t>
            </w:r>
          </w:p>
        </w:tc>
        <w:tc>
          <w:tcPr>
            <w:tcW w:w="1701" w:type="dxa"/>
            <w:tcBorders>
              <w:top w:val="nil"/>
            </w:tcBorders>
            <w:shd w:color="auto" w:fill="auto" w:val="clear"/>
            <w:vAlign w:val="center"/>
          </w:tcPr>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Wsparcie potencjału administracyjnego Biura Stowarzyszenia WŁOF – Zintegrowane Inwestycje terytorialne Miejskiego Obszaru Funkcjonalnego Włocławka - etap I</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kw.2023</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kw.2025</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144 615,79</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144 615,79</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122 923,43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21 692,36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Podmioty zaangażowane w przygotowanie i realizację strategii zintegrowanego rozwoju terytorialnego – 15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Średnioroczna liczba etatów finansowanych w ramach wsparcia administracyjnego – 0,20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Liczba osób objętych projektem w ramach wsparcia administracyjnego – 3 osoby</w:t>
            </w:r>
          </w:p>
        </w:tc>
      </w:tr>
      <w:tr>
        <w:trPr>
          <w:trHeight w:val="505" w:hRule="atLeast"/>
        </w:trPr>
        <w:tc>
          <w:tcPr>
            <w:tcW w:w="993" w:type="dxa"/>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ZIT-WL-91</w:t>
            </w:r>
          </w:p>
        </w:tc>
        <w:tc>
          <w:tcPr>
            <w:tcW w:w="560" w:type="dxa"/>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CP5</w:t>
            </w:r>
          </w:p>
        </w:tc>
        <w:tc>
          <w:tcPr>
            <w:tcW w:w="715" w:type="dxa"/>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5(i)</w:t>
            </w:r>
          </w:p>
        </w:tc>
        <w:tc>
          <w:tcPr>
            <w:tcW w:w="1844" w:type="dxa"/>
            <w:tcBorders/>
            <w:shd w:color="auto" w:fill="auto" w:val="clear"/>
            <w:vAlign w:val="center"/>
          </w:tcPr>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Wsparcie administracyjne gmin w ramach Polityki Terytorialnej</w:t>
            </w:r>
          </w:p>
        </w:tc>
        <w:tc>
          <w:tcPr>
            <w:tcW w:w="1984" w:type="dxa"/>
            <w:tcBorders/>
            <w:shd w:color="auto" w:fill="FFFFFF" w:themeFill="background1" w:val="clear"/>
          </w:tcPr>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sz w:val="18"/>
                <w:szCs w:val="18"/>
              </w:rPr>
            </w:pPr>
            <w:r>
              <w:rPr>
                <w:rFonts w:cs=""/>
                <w:kern w:val="0"/>
                <w:sz w:val="18"/>
                <w:szCs w:val="18"/>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Wsparcie administracyjne</w:t>
            </w:r>
          </w:p>
        </w:tc>
        <w:tc>
          <w:tcPr>
            <w:tcW w:w="1701" w:type="dxa"/>
            <w:tcBorders/>
            <w:shd w:color="auto" w:fill="auto" w:val="clear"/>
            <w:vAlign w:val="center"/>
          </w:tcPr>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Stowarzyszenie WŁOF– Zintegrowane Inwestycje terytorialne Miejskiego Obszaru Funkcjonalnego Włocławka</w:t>
            </w:r>
          </w:p>
        </w:tc>
        <w:tc>
          <w:tcPr>
            <w:tcW w:w="1701" w:type="dxa"/>
            <w:tcBorders/>
            <w:shd w:color="auto" w:fill="auto" w:val="clear"/>
            <w:vAlign w:val="center"/>
          </w:tcPr>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Wsparcie potencjału administracyjnego Biura Stowarzyszenia WŁOF – Zintegrowane Inwestycje terytorialne Miejskiego Obszaru Funkcjonalnego Włocławka - etap II</w:t>
            </w:r>
          </w:p>
        </w:tc>
        <w:tc>
          <w:tcPr>
            <w:tcW w:w="991"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ZIT</w:t>
            </w:r>
          </w:p>
        </w:tc>
        <w:tc>
          <w:tcPr>
            <w:tcW w:w="992" w:type="dxa"/>
            <w:tcBorders/>
            <w:shd w:color="auto" w:fill="FFFFFF" w:themeFill="background1" w:val="clear"/>
            <w:vAlign w:val="center"/>
          </w:tcPr>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TAK</w:t>
            </w:r>
          </w:p>
        </w:tc>
        <w:tc>
          <w:tcPr>
            <w:tcW w:w="1134" w:type="dxa"/>
            <w:tcBorders/>
            <w:shd w:color="auto" w:fill="FFFFFF" w:themeFill="background1"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2025</w:t>
              <w:br/>
              <w:t>- I kw. 2027</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144 615,79</w:t>
            </w:r>
          </w:p>
        </w:tc>
        <w:tc>
          <w:tcPr>
            <w:tcW w:w="708"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EFRR</w:t>
            </w:r>
          </w:p>
        </w:tc>
        <w:tc>
          <w:tcPr>
            <w:tcW w:w="1560"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144 615,79</w:t>
            </w:r>
          </w:p>
        </w:tc>
        <w:tc>
          <w:tcPr>
            <w:tcW w:w="1558" w:type="dxa"/>
            <w:tcBorders>
              <w:top w:val="nil"/>
            </w:tcBorders>
            <w:shd w:color="auto" w:fill="auto" w:val="clear"/>
            <w:vAlign w:val="center"/>
          </w:tcPr>
          <w:p>
            <w:pPr>
              <w:pStyle w:val="Normal"/>
              <w:widowControl/>
              <w:spacing w:before="0" w:after="0"/>
              <w:jc w:val="center"/>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122 923,43</w:t>
            </w:r>
          </w:p>
        </w:tc>
        <w:tc>
          <w:tcPr>
            <w:tcW w:w="1561" w:type="dxa"/>
            <w:tcBorders/>
            <w:shd w:color="auto" w:fill="FFFFFF" w:themeFill="background1" w:val="clear"/>
            <w:vAlign w:val="center"/>
          </w:tcPr>
          <w:p>
            <w:pPr>
              <w:pStyle w:val="Normal"/>
              <w:widowControl/>
              <w:spacing w:before="0" w:after="0"/>
              <w:jc w:val="center"/>
              <w:rPr>
                <w:rFonts w:eastAsia="Times New Roman" w:cs="Calibri" w:cstheme="minorHAnsi"/>
                <w:sz w:val="18"/>
                <w:szCs w:val="18"/>
                <w:lang w:eastAsia="pl-PL"/>
              </w:rPr>
            </w:pPr>
            <w:r>
              <w:rPr>
                <w:rFonts w:eastAsia="Times New Roman" w:cs="Calibri" w:cstheme="minorHAnsi"/>
                <w:kern w:val="0"/>
                <w:sz w:val="18"/>
                <w:szCs w:val="18"/>
                <w:lang w:val="pl-PL" w:eastAsia="pl-PL" w:bidi="ar-SA"/>
              </w:rPr>
              <w:t>21 692,36</w:t>
            </w:r>
          </w:p>
        </w:tc>
        <w:tc>
          <w:tcPr>
            <w:tcW w:w="3113" w:type="dxa"/>
            <w:tcBorders/>
            <w:shd w:color="auto" w:fill="FFFFFF" w:themeFill="background1" w:val="clear"/>
            <w:vAlign w:val="center"/>
          </w:tcPr>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produktu:</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Podmioty zaangażowane w przygotowanie i realizację strategii zintegrowanego rozwoju terytorialnego – 15 szt.</w:t>
            </w:r>
          </w:p>
          <w:p>
            <w:pPr>
              <w:pStyle w:val="Normal"/>
              <w:widowControl/>
              <w:spacing w:before="0" w:after="0"/>
              <w:jc w:val="left"/>
              <w:rPr>
                <w:rFonts w:eastAsia="Times New Roman" w:cs="Calibri" w:cstheme="minorHAnsi"/>
                <w:sz w:val="18"/>
                <w:szCs w:val="18"/>
                <w:lang w:eastAsia="pl-PL"/>
              </w:rPr>
            </w:pPr>
            <w:r>
              <w:rPr>
                <w:rFonts w:eastAsia="Times New Roman" w:cs="Calibri" w:cstheme="minorHAnsi"/>
                <w:kern w:val="0"/>
                <w:sz w:val="18"/>
                <w:szCs w:val="18"/>
                <w:lang w:val="pl-PL" w:eastAsia="pl-PL" w:bidi="ar-SA"/>
              </w:rPr>
              <w:t>Średnioroczna liczba etatów finansowanych w ramach wsparcia administracyjnego – 0,20 szt.</w:t>
            </w:r>
          </w:p>
          <w:p>
            <w:pPr>
              <w:pStyle w:val="Normal"/>
              <w:widowControl/>
              <w:spacing w:before="0" w:after="0"/>
              <w:jc w:val="left"/>
              <w:rPr>
                <w:rFonts w:eastAsia="Times New Roman" w:cs="Calibri" w:cstheme="minorHAnsi"/>
                <w:sz w:val="18"/>
                <w:szCs w:val="18"/>
                <w:u w:val="single"/>
                <w:lang w:eastAsia="pl-PL"/>
              </w:rPr>
            </w:pPr>
            <w:r>
              <w:rPr>
                <w:rFonts w:eastAsia="Times New Roman" w:cs="Calibri" w:cstheme="minorHAnsi"/>
                <w:kern w:val="0"/>
                <w:sz w:val="18"/>
                <w:szCs w:val="18"/>
                <w:u w:val="single"/>
                <w:lang w:val="pl-PL" w:eastAsia="pl-PL" w:bidi="ar-SA"/>
              </w:rPr>
              <w:t>Wskaźnik rezultatu:</w:t>
            </w:r>
          </w:p>
          <w:p>
            <w:pPr>
              <w:pStyle w:val="Normal"/>
              <w:widowControl/>
              <w:spacing w:before="0" w:after="0"/>
              <w:jc w:val="left"/>
              <w:rPr>
                <w:rFonts w:eastAsia="Times New Roman" w:cs="Calibri" w:cstheme="minorHAnsi"/>
                <w:b/>
                <w:bCs/>
                <w:sz w:val="18"/>
                <w:szCs w:val="18"/>
                <w:lang w:eastAsia="pl-PL"/>
              </w:rPr>
            </w:pPr>
            <w:r>
              <w:rPr>
                <w:rFonts w:eastAsia="Times New Roman" w:cs="Calibri" w:cstheme="minorHAnsi"/>
                <w:kern w:val="0"/>
                <w:sz w:val="18"/>
                <w:szCs w:val="18"/>
                <w:lang w:val="pl-PL" w:eastAsia="pl-PL" w:bidi="ar-SA"/>
              </w:rPr>
              <w:t>Liczba osób objętych projektem w ramach wsparcia administracyjnego – 3 osoby</w:t>
            </w:r>
          </w:p>
        </w:tc>
      </w:tr>
      <w:tr>
        <w:trPr>
          <w:trHeight w:val="505" w:hRule="atLeast"/>
        </w:trPr>
        <w:tc>
          <w:tcPr>
            <w:tcW w:w="12615" w:type="dxa"/>
            <w:gridSpan w:val="10"/>
            <w:tcBorders/>
            <w:shd w:color="auto" w:fill="75B4F3" w:val="clear"/>
            <w:vAlign w:val="center"/>
          </w:tcPr>
          <w:p>
            <w:pPr>
              <w:pStyle w:val="Normal"/>
              <w:widowControl/>
              <w:spacing w:before="0" w:after="160"/>
              <w:jc w:val="center"/>
              <w:rPr>
                <w:rFonts w:cs="Calibri" w:cstheme="minorHAnsi"/>
                <w:b/>
                <w:bCs/>
              </w:rPr>
            </w:pPr>
            <w:r>
              <w:rPr>
                <w:rFonts w:eastAsia="Times New Roman" w:cs="Calibri" w:cstheme="minorHAnsi"/>
                <w:b/>
                <w:bCs/>
                <w:kern w:val="0"/>
                <w:sz w:val="22"/>
                <w:szCs w:val="22"/>
                <w:lang w:val="pl-PL" w:eastAsia="pl-PL" w:bidi="ar-SA"/>
              </w:rPr>
              <w:t>Suma CP5</w:t>
            </w:r>
          </w:p>
        </w:tc>
        <w:tc>
          <w:tcPr>
            <w:tcW w:w="1560" w:type="dxa"/>
            <w:tcBorders>
              <w:top w:val="nil"/>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10 085 745,94</w:t>
            </w:r>
          </w:p>
        </w:tc>
        <w:tc>
          <w:tcPr>
            <w:tcW w:w="708" w:type="dxa"/>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r>
          </w:p>
        </w:tc>
        <w:tc>
          <w:tcPr>
            <w:tcW w:w="1560" w:type="dxa"/>
            <w:tcBorders>
              <w:top w:val="nil"/>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9 838 412,76</w:t>
            </w:r>
          </w:p>
        </w:tc>
        <w:tc>
          <w:tcPr>
            <w:tcW w:w="1558" w:type="dxa"/>
            <w:tcBorders>
              <w:top w:val="nil"/>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6 991 853,76</w:t>
            </w:r>
          </w:p>
        </w:tc>
        <w:tc>
          <w:tcPr>
            <w:tcW w:w="1561" w:type="dxa"/>
            <w:tcBorders/>
            <w:shd w:color="auto" w:fill="75B4F3" w:val="clear"/>
            <w:vAlign w:val="center"/>
          </w:tcPr>
          <w:p>
            <w:pPr>
              <w:pStyle w:val="Normal"/>
              <w:widowControl/>
              <w:spacing w:before="0" w:after="160"/>
              <w:jc w:val="center"/>
              <w:rPr>
                <w:rFonts w:eastAsia="Times New Roman" w:cs="Calibri" w:cstheme="minorHAnsi"/>
                <w:b/>
                <w:bCs/>
                <w:lang w:eastAsia="pl-PL"/>
              </w:rPr>
            </w:pPr>
            <w:r>
              <w:rPr>
                <w:rFonts w:eastAsia="Times New Roman" w:cs="Calibri" w:cstheme="minorHAnsi"/>
                <w:b/>
                <w:bCs/>
                <w:kern w:val="0"/>
                <w:sz w:val="22"/>
                <w:szCs w:val="22"/>
                <w:lang w:val="pl-PL" w:eastAsia="pl-PL" w:bidi="ar-SA"/>
              </w:rPr>
              <w:t>3 093 892,18</w:t>
            </w:r>
          </w:p>
        </w:tc>
        <w:tc>
          <w:tcPr>
            <w:tcW w:w="3113" w:type="dxa"/>
            <w:tcBorders/>
            <w:shd w:color="auto" w:fill="75B4F3" w:val="clear"/>
            <w:vAlign w:val="center"/>
          </w:tcPr>
          <w:p>
            <w:pPr>
              <w:pStyle w:val="Normal"/>
              <w:widowControl/>
              <w:spacing w:before="0" w:after="160"/>
              <w:jc w:val="left"/>
              <w:rPr>
                <w:rFonts w:eastAsia="Times New Roman" w:cs="Calibri" w:cstheme="minorHAnsi"/>
                <w:b/>
                <w:bCs/>
                <w:lang w:eastAsia="pl-PL"/>
              </w:rPr>
            </w:pPr>
            <w:r>
              <w:rPr>
                <w:rFonts w:eastAsia="Times New Roman" w:cs="Calibri" w:cstheme="minorHAnsi"/>
                <w:b/>
                <w:bCs/>
                <w:kern w:val="0"/>
                <w:sz w:val="22"/>
                <w:szCs w:val="22"/>
                <w:lang w:val="pl-PL" w:eastAsia="pl-PL" w:bidi="ar-SA"/>
              </w:rPr>
            </w:r>
          </w:p>
        </w:tc>
      </w:tr>
    </w:tbl>
    <w:p>
      <w:pPr>
        <w:pStyle w:val="Normal"/>
        <w:rPr/>
      </w:pPr>
      <w:r>
        <w:rPr/>
      </w:r>
    </w:p>
    <w:p>
      <w:pPr>
        <w:pStyle w:val="Normal"/>
        <w:rPr>
          <w:highlight w:val="yellow"/>
        </w:rPr>
      </w:pPr>
      <w:r>
        <w:rPr>
          <w:highlight w:val="yellow"/>
        </w:rPr>
      </w:r>
    </w:p>
    <w:p>
      <w:pPr>
        <w:pStyle w:val="Normal"/>
        <w:rPr>
          <w:highlight w:val="yellow"/>
        </w:rPr>
      </w:pPr>
      <w:r>
        <w:rPr>
          <w:highlight w:val="yellow"/>
        </w:rPr>
      </w:r>
    </w:p>
    <w:p>
      <w:pPr>
        <w:pStyle w:val="Normal"/>
        <w:rPr>
          <w:highlight w:val="yellow"/>
        </w:rPr>
      </w:pPr>
      <w:r>
        <w:rPr>
          <w:highlight w:val="yellow"/>
        </w:rPr>
      </w:r>
    </w:p>
    <w:p>
      <w:pPr>
        <w:sectPr>
          <w:headerReference w:type="default" r:id="rId35"/>
          <w:headerReference w:type="first" r:id="rId36"/>
          <w:footerReference w:type="default" r:id="rId37"/>
          <w:footerReference w:type="first" r:id="rId38"/>
          <w:footnotePr>
            <w:numFmt w:val="decimal"/>
          </w:footnotePr>
          <w:type w:val="nextPage"/>
          <w:pgSz w:orient="landscape" w:w="23811" w:h="16838"/>
          <w:pgMar w:left="1134" w:right="1418" w:gutter="0" w:header="283" w:top="1418" w:footer="227" w:bottom="1418"/>
          <w:pgNumType w:fmt="decimal"/>
          <w:formProt w:val="false"/>
          <w:textDirection w:val="lrTb"/>
          <w:docGrid w:type="default" w:linePitch="360" w:charSpace="4096"/>
        </w:sectPr>
        <w:pStyle w:val="Normal"/>
        <w:rPr>
          <w:highlight w:val="yellow"/>
        </w:rPr>
      </w:pPr>
      <w:r>
        <w:rPr>
          <w:highlight w:val="yellow"/>
        </w:rPr>
      </w:r>
    </w:p>
    <w:p>
      <w:pPr>
        <w:pStyle w:val="2poziom"/>
        <w:numPr>
          <w:ilvl w:val="1"/>
          <w:numId w:val="55"/>
        </w:numPr>
        <w:tabs>
          <w:tab w:val="clear" w:pos="680"/>
          <w:tab w:val="left" w:pos="709" w:leader="none"/>
          <w:tab w:val="left" w:pos="993" w:leader="none"/>
        </w:tabs>
        <w:rPr>
          <w:color w:val="auto"/>
        </w:rPr>
      </w:pPr>
      <w:bookmarkStart w:id="204" w:name="_Toc143161932"/>
      <w:bookmarkStart w:id="205" w:name="_Hlk134172204"/>
      <w:r>
        <w:rPr/>
        <w:t>Wskazanie podejścia zintegrowanego</w:t>
      </w:r>
      <w:bookmarkEnd w:id="204"/>
      <w:bookmarkEnd w:id="205"/>
    </w:p>
    <w:p>
      <w:pPr>
        <w:pStyle w:val="Normal"/>
        <w:spacing w:lineRule="auto" w:line="276"/>
        <w:jc w:val="both"/>
        <w:rPr/>
      </w:pPr>
      <w:r>
        <w:rPr/>
        <w:t>Zgodnie z Polityką Terytorialną Województwa Kujawsko-Pomorskiego</w:t>
      </w:r>
      <w:r>
        <w:rPr>
          <w:rStyle w:val="Zakotwiczenieprzypisudolnego"/>
        </w:rPr>
        <w:footnoteReference w:id="47"/>
      </w:r>
      <w:r>
        <w:rPr/>
        <w:t xml:space="preserve"> istotą wdrażania instrumentu ZIT jest realizacja projektów zintegrowanych. Projekt zintegrowany to projekt, który wpisuje się w cele rozwoju obszaru funkcjonalnego objętego instrumentem i jest ukierunkowany na rozwiązywanie wspólnych problemów rozwojowych. Zintegrowane inwestycje rozumiane są również jako wiązka projektów, w wyniku realizacji których zostaną osiągnięte cele wyznaczone w strategii terytorialnej.</w:t>
      </w:r>
    </w:p>
    <w:p>
      <w:pPr>
        <w:pStyle w:val="Normal"/>
        <w:spacing w:lineRule="auto" w:line="276"/>
        <w:jc w:val="both"/>
        <w:rPr/>
      </w:pPr>
      <w:r>
        <w:rPr/>
        <w:t xml:space="preserve">W </w:t>
      </w:r>
      <w:r>
        <w:rPr>
          <w:i/>
          <w:iCs/>
        </w:rPr>
        <w:t>Strategii terytorialnej miejskiego obszaru funkcjonalnego Włocławka</w:t>
      </w:r>
      <w:r>
        <w:rPr/>
        <w:t xml:space="preserve"> podejście zintegrowane przedstawiono przy pomocy „wiązek projektów”. Wiązki stanowią grupy projektów należące </w:t>
        <w:br/>
        <w:t xml:space="preserve">do podobnego typu wsparcia realizowanego w ramach Polityki Terytorialnej i pomagają podkreślić zintegrowany charakter interwencji zaplanowanej w Strategii. Projekty w ramach wiązki wzajemnie się uzupełniają i pozwolą na osiągnięcie efektu synergii zaplanowanej interwencji. Wszystkie wiązki wpisują się w cele rozwojowe obszaru wyznaczone w dokumencie i ukierunkowane </w:t>
        <w:br/>
        <w:t xml:space="preserve">są na rozwiązywanie wspólnych problemów rozwojowych zidentyfikowanych w syntezie diagnozy. Pogrupowanie projektów w wiązki pozwala uwidocznić wspólny efekt realizowanych działań, który będzie miał wpływ na rozwój całego obszaru MOF Włocławka. Poprzez skumulowanie działań </w:t>
        <w:br/>
        <w:t>w wiązkach projektów, ich wspólna realizacja umożliwi kompleksową realizację celów Strategii. Wiązki projektów przyczynią się do realizacji poszczególnych celów szczegółowych Strategii, a poprzez nie realizacji celu głównego – podniesienia poziomu rozwoju społeczno-gospodarczego oraz wsparcie procesu zielonej transformacji i gospodarki zeroemisyjnej.</w:t>
      </w:r>
    </w:p>
    <w:p>
      <w:pPr>
        <w:pStyle w:val="Normal"/>
        <w:spacing w:lineRule="auto" w:line="276"/>
        <w:jc w:val="both"/>
        <w:rPr/>
      </w:pPr>
      <w:r>
        <w:rPr/>
        <w:t xml:space="preserve">Ze względu na funkcję miasta rdzeniowego o znaczeniu regionalnym jaką pełni Miasto Włocławek </w:t>
        <w:br/>
        <w:t xml:space="preserve">dla pozostałej części obszaru funkcjonalnego, projekty realizowane na jego obszarze są istotne </w:t>
        <w:br/>
        <w:t>dla rozwoju całego MOF, a zaplanowana na obszarze MOF infrastruktura będzie służyła wszystkim mieszkańcom.</w:t>
      </w:r>
    </w:p>
    <w:p>
      <w:pPr>
        <w:pStyle w:val="Normal"/>
        <w:rPr/>
      </w:pPr>
      <w:r>
        <w:rPr/>
        <w:t>Każdy projekt jest jednoznacznie powiązany z innymi projektami w Strategii i realizuje przynajmniej jeden lub kilka z następujących celów:</w:t>
      </w:r>
    </w:p>
    <w:p>
      <w:pPr>
        <w:pStyle w:val="ListParagraph"/>
        <w:numPr>
          <w:ilvl w:val="0"/>
          <w:numId w:val="21"/>
        </w:numPr>
        <w:spacing w:lineRule="auto" w:line="276" w:before="0" w:after="0"/>
        <w:rPr/>
      </w:pPr>
      <w:r>
        <w:rPr/>
        <w:t>wspieranie rozwoju gospodarczego</w:t>
      </w:r>
    </w:p>
    <w:p>
      <w:pPr>
        <w:pStyle w:val="ListParagraph"/>
        <w:numPr>
          <w:ilvl w:val="0"/>
          <w:numId w:val="21"/>
        </w:numPr>
        <w:spacing w:lineRule="auto" w:line="276" w:before="0" w:after="0"/>
        <w:rPr/>
      </w:pPr>
      <w:r>
        <w:rPr/>
        <w:t>dążenie do neutralności klimatycznej</w:t>
      </w:r>
    </w:p>
    <w:p>
      <w:pPr>
        <w:pStyle w:val="ListParagraph"/>
        <w:numPr>
          <w:ilvl w:val="0"/>
          <w:numId w:val="21"/>
        </w:numPr>
        <w:spacing w:lineRule="auto" w:line="276" w:before="0" w:after="0"/>
        <w:rPr/>
      </w:pPr>
      <w:r>
        <w:rPr/>
        <w:t>wpływanie na zwiększenie dostępności do usług publicznych</w:t>
      </w:r>
    </w:p>
    <w:p>
      <w:pPr>
        <w:pStyle w:val="ListParagraph"/>
        <w:numPr>
          <w:ilvl w:val="0"/>
          <w:numId w:val="21"/>
        </w:numPr>
        <w:spacing w:lineRule="auto" w:line="276" w:before="0" w:after="0"/>
        <w:rPr/>
      </w:pPr>
      <w:r>
        <w:rPr/>
        <w:t>realne przekładanie się na poprawę jakości życia mieszkańców</w:t>
      </w:r>
    </w:p>
    <w:p>
      <w:pPr>
        <w:pStyle w:val="ListParagraph"/>
        <w:numPr>
          <w:ilvl w:val="0"/>
          <w:numId w:val="21"/>
        </w:numPr>
        <w:spacing w:lineRule="auto" w:line="276" w:before="0" w:after="0"/>
        <w:rPr/>
      </w:pPr>
      <w:r>
        <w:rPr/>
        <w:t>opieranie się na inteligentnym zarządzaniu</w:t>
      </w:r>
    </w:p>
    <w:p>
      <w:pPr>
        <w:pStyle w:val="Normal"/>
        <w:rPr/>
      </w:pPr>
      <w:r>
        <w:rPr/>
        <w:t>W Strategii wyszczególniono następujące wiązki projektów:</w:t>
      </w:r>
    </w:p>
    <w:p>
      <w:pPr>
        <w:pStyle w:val="Normal"/>
        <w:jc w:val="both"/>
        <w:rPr>
          <w:rFonts w:cs="Calibri" w:cstheme="minorHAnsi"/>
          <w:bCs/>
        </w:rPr>
      </w:pPr>
      <w:r>
        <w:rPr>
          <w:b/>
          <w:bCs/>
        </w:rPr>
        <w:t>Wsparcie trwałego rozwoju i konkurencyjności gospodarki obszaru MOF</w:t>
      </w:r>
      <w:r>
        <w:rPr/>
        <w:t xml:space="preserve"> – 9 projektów realizowanych na obszarze 8 gmin, polegających na wsparciu infrastruktury biznesowej oraz uzbrojeniu terenów inwestycyjnych. Wiązka projektów będzie realizowała zadania w ramach celu szczegółowego „</w:t>
      </w:r>
      <w:r>
        <w:rPr>
          <w:rFonts w:cs="Calibri" w:cstheme="minorHAnsi"/>
          <w:bCs/>
        </w:rPr>
        <w:t>Gospodarka i wykształcone kadry”.</w:t>
      </w:r>
    </w:p>
    <w:p>
      <w:pPr>
        <w:pStyle w:val="Normal"/>
        <w:spacing w:lineRule="auto" w:line="276" w:before="0" w:after="0"/>
        <w:jc w:val="both"/>
        <w:rPr>
          <w:rFonts w:cs="Calibri" w:cstheme="minorHAnsi"/>
          <w:color w:val="000000" w:themeColor="text1"/>
        </w:rPr>
      </w:pPr>
      <w:r>
        <w:rPr>
          <w:rFonts w:cs="Calibri" w:cstheme="minorHAnsi"/>
          <w:color w:val="000000" w:themeColor="text1"/>
        </w:rPr>
        <w:t xml:space="preserve">Efektem wspólnym dla całej wiązki projektowej  będzie wspieranie rozwoju gospodarczego na terenie MOF Włocławek, poprawa świadczenia podstawowych usług doradczych dla MŚP, poprawa jakości życia mieszkańców oraz zwiększenie atrakcyjności terenu MOF Włocławka. Wspólnym efektem będzie wsparcie rozwoju gospodarczego na terenie MOF Włocławka oraz poprawa świadczenia podstawowych usług doradczych dla MŚP. Ponadto realizacja projektów odnosi się do wspólnego wykorzystania powstałej w wyniku realizacji inwestycji infrastruktury przez mieszkańców MOF Włocławek i do osiągnięcia wspólnego rezultatu, jakim jest wsparcie rozwoju i konkurencyjności obszaru MOF Włocławek.  </w:t>
      </w:r>
    </w:p>
    <w:p>
      <w:pPr>
        <w:pStyle w:val="Normal"/>
        <w:spacing w:lineRule="auto" w:line="276" w:before="0" w:after="0"/>
        <w:jc w:val="both"/>
        <w:rPr>
          <w:rFonts w:cs="Calibri" w:cstheme="minorHAnsi"/>
          <w:color w:val="000000" w:themeColor="text1"/>
        </w:rPr>
      </w:pPr>
      <w:r>
        <w:rPr>
          <w:rFonts w:cs="Calibri" w:cstheme="minorHAnsi"/>
          <w:color w:val="000000" w:themeColor="text1"/>
        </w:rPr>
      </w:r>
    </w:p>
    <w:p>
      <w:pPr>
        <w:pStyle w:val="Normal"/>
        <w:jc w:val="both"/>
        <w:rPr>
          <w:rFonts w:cs="Calibri" w:cstheme="minorHAnsi"/>
          <w:bCs/>
        </w:rPr>
      </w:pPr>
      <w:r>
        <w:rPr>
          <w:b/>
          <w:bCs/>
        </w:rPr>
        <w:t>Kształcenie zawodowe</w:t>
      </w:r>
      <w:r>
        <w:rPr/>
        <w:t xml:space="preserve"> – 2 projekty dotyczące inwestycji w infrastrukturę kształcenia zawodowego oraz dostosowania kształcenia zawodowego do potrzeb rynku pracy realizowane w gminach miejskich Włocławek i Kowal. Ze względu na fakt, że kształcenie na poziomie ponadpodstawowym zawodowym stanowi usługę o charakterze ponadlokalnym i jest skierowane do mieszkańców nie tylko gminy, </w:t>
        <w:br/>
        <w:t>w której znajduje się dana szkoła, projekty te będą obejmować swoim wpływem obszar całego MOF. Wiązka projektów będzie realizowała zadania w ramach celu szczegółowego „</w:t>
      </w:r>
      <w:r>
        <w:rPr>
          <w:rFonts w:cs="Calibri" w:cstheme="minorHAnsi"/>
          <w:bCs/>
        </w:rPr>
        <w:t xml:space="preserve">Gospodarka </w:t>
        <w:br/>
        <w:t>i wykształcone kadry”.</w:t>
      </w:r>
    </w:p>
    <w:p>
      <w:pPr>
        <w:pStyle w:val="Normal"/>
        <w:spacing w:lineRule="auto" w:line="276" w:before="0" w:after="0"/>
        <w:jc w:val="both"/>
        <w:rPr>
          <w:rFonts w:cs="Calibri" w:cstheme="minorHAnsi"/>
          <w:color w:val="000000" w:themeColor="text1"/>
        </w:rPr>
      </w:pPr>
      <w:bookmarkStart w:id="206" w:name="_Hlk136418950"/>
      <w:r>
        <w:rPr>
          <w:rFonts w:cs="Calibri" w:cstheme="minorHAnsi"/>
          <w:color w:val="000000" w:themeColor="text1"/>
        </w:rPr>
        <w:t xml:space="preserve">Efektem wspólnym dla całej wiązki projektowej będzie poprawa warunków nauczania </w:t>
        <w:br/>
        <w:t>oraz podniesienie efektywności i jakości kształcenia zawodowego na terenie MOF Włocławek.</w:t>
      </w:r>
      <w:r>
        <w:rPr>
          <w:rFonts w:cs="Calibri" w:cstheme="minorHAnsi"/>
          <w:color w:val="FF0000"/>
        </w:rPr>
        <w:t xml:space="preserve"> </w:t>
      </w:r>
      <w:r>
        <w:rPr>
          <w:rFonts w:cs="Calibri" w:cstheme="minorHAnsi"/>
          <w:color w:val="000000" w:themeColor="text1"/>
        </w:rPr>
        <w:t>Ponadto realizacja projektów odnosi się do wspólnego wykorzystania przez społeczeństwo MOF Włocławka powstałej w wyniku realizacji inwestycji infrastruktury i do osiągnięcia wspólnego rezultatu, jakim</w:t>
        <w:br/>
        <w:t xml:space="preserve"> jest podniesienie efektywności kształcenia zawodowego. </w:t>
      </w:r>
      <w:bookmarkEnd w:id="206"/>
    </w:p>
    <w:p>
      <w:pPr>
        <w:pStyle w:val="Normal"/>
        <w:spacing w:lineRule="auto" w:line="276" w:before="0" w:after="0"/>
        <w:jc w:val="both"/>
        <w:rPr>
          <w:b/>
          <w:bCs/>
        </w:rPr>
      </w:pPr>
      <w:r>
        <w:rPr>
          <w:b/>
          <w:bCs/>
        </w:rPr>
      </w:r>
    </w:p>
    <w:p>
      <w:pPr>
        <w:pStyle w:val="Normal"/>
        <w:jc w:val="both"/>
        <w:rPr/>
      </w:pPr>
      <w:r>
        <w:rPr>
          <w:b/>
          <w:bCs/>
        </w:rPr>
        <w:t>Wspieranie zrównoważonej mobilności miejskiej</w:t>
      </w:r>
      <w:r>
        <w:rPr/>
        <w:t xml:space="preserve"> – 3 projekty obejmujące rozwój infrastruktury rowerowej, rozwój i usprawnienie systemu transportu miejskiego oraz zakup niskoemisyjnego taboru, w mieście Włocławek. Miasto Włocławek stanowi ważny punkt przesiadkowy dla mieszkańców obszaru MOF i w związku z tym projekty realizowane na jego obszarze będą miały istotny wpływ </w:t>
        <w:br/>
        <w:t>na funkcjonowanie systemu transportowego całego obszaru MOF. Wiązka projektów będzie realizowała zadania w ramach celu szczegółowego „Zielona transformacja i gospodarka niskoemisyjna”.</w:t>
      </w:r>
    </w:p>
    <w:p>
      <w:pPr>
        <w:pStyle w:val="Normal"/>
        <w:spacing w:lineRule="auto" w:line="276" w:before="0" w:after="0"/>
        <w:jc w:val="both"/>
        <w:rPr>
          <w:color w:val="000000" w:themeColor="text1"/>
        </w:rPr>
      </w:pPr>
      <w:bookmarkStart w:id="207" w:name="_Hlk136418970"/>
      <w:r>
        <w:rPr>
          <w:color w:val="000000" w:themeColor="text1"/>
        </w:rPr>
        <w:t xml:space="preserve">W przedmiotową wiązkę projektową wpisuje się również projekt z listy rezerwowej Gminy Miasto Włocławek, mający na celu usprawnienie systemu transportu miejskiego oraz zmniejszenie obszarów komunikacyjnie wykluczonych. Projekt wpłynie na poprawę jakości życia mieszkańców. </w:t>
      </w:r>
    </w:p>
    <w:p>
      <w:pPr>
        <w:pStyle w:val="Normal"/>
        <w:spacing w:lineRule="auto" w:line="276" w:before="0" w:after="0"/>
        <w:jc w:val="both"/>
        <w:rPr>
          <w:color w:val="000000" w:themeColor="text1"/>
        </w:rPr>
      </w:pPr>
      <w:r>
        <w:rPr>
          <w:color w:val="000000" w:themeColor="text1"/>
        </w:rPr>
      </w:r>
    </w:p>
    <w:p>
      <w:pPr>
        <w:pStyle w:val="Normal"/>
        <w:spacing w:lineRule="auto" w:line="276" w:before="0" w:after="0"/>
        <w:jc w:val="both"/>
        <w:rPr>
          <w:color w:val="000000" w:themeColor="text1"/>
        </w:rPr>
      </w:pPr>
      <w:bookmarkStart w:id="208" w:name="_Hlk136418970"/>
      <w:r>
        <w:rPr>
          <w:rFonts w:cs="Calibri" w:cstheme="minorHAnsi"/>
          <w:color w:val="000000" w:themeColor="text1"/>
        </w:rPr>
        <w:t xml:space="preserve">Efektem wspólnym dla całej wiązki projektowej będzie zwiększenie spójności i liczby dróg rowerowych </w:t>
        <w:br/>
        <w:t xml:space="preserve">na terenie MOF Włocławka, zwiększenie atrakcyjności turystycznej MOF Włocławka, poprawa jakości życia mieszkańców na terenie MOF Włocławka, poprawa jakości środowiska naturalnego, ograniczenie emisji dwutlenku węgla oraz usprawnienie systemu transportu miejskiego. Ponadto realizacja projektów odnosi się do wspólnego wykorzystania przez społeczeństwo MOF Włocławka powstałej </w:t>
        <w:br/>
        <w:t xml:space="preserve">w wyniku realizacji inwestycji infrastruktury i do osiągnięcia wspólnego rezultatu, jakim jest wspieranie zrównoważonej mobilności miejskiej. </w:t>
      </w:r>
      <w:bookmarkEnd w:id="208"/>
    </w:p>
    <w:p>
      <w:pPr>
        <w:pStyle w:val="Normal"/>
        <w:spacing w:lineRule="auto" w:line="276" w:before="0" w:after="0"/>
        <w:jc w:val="both"/>
        <w:rPr>
          <w:rFonts w:cs="Calibri" w:cstheme="minorHAnsi"/>
          <w:color w:val="FF0000"/>
        </w:rPr>
      </w:pPr>
      <w:r>
        <w:rPr>
          <w:rFonts w:cs="Calibri" w:cstheme="minorHAnsi"/>
          <w:color w:val="FF0000"/>
        </w:rPr>
      </w:r>
    </w:p>
    <w:p>
      <w:pPr>
        <w:pStyle w:val="Normal"/>
        <w:spacing w:lineRule="auto" w:line="276"/>
        <w:jc w:val="both"/>
        <w:rPr/>
      </w:pPr>
      <w:r>
        <w:rPr>
          <w:b/>
          <w:bCs/>
        </w:rPr>
        <w:t>Poprawa efektywności energetycznej oraz redukcja emisji gazów cieplarnianych na obszarze MOF</w:t>
      </w:r>
      <w:r>
        <w:rPr/>
        <w:t xml:space="preserve"> – wiązka 19 projektów realizowanych na obszarze MOF polegających na budowie, wymianie</w:t>
        <w:br/>
        <w:t xml:space="preserve"> i modernizacji źródeł ciepła, kompleksowej modernizacji energetycznej komunalnych budynków mieszkalnych i obiektów użyteczności publicznej oraz wymianę oświetlenia na energooszczędne. Wiązka projektów będzie realizowała zadania w ramach celu szczegółowego „Zielona transformacja </w:t>
        <w:br/>
        <w:t>i gospodarka niskoemisyjna”.</w:t>
      </w:r>
    </w:p>
    <w:p>
      <w:pPr>
        <w:pStyle w:val="Normal"/>
        <w:spacing w:lineRule="auto" w:line="276" w:before="0" w:after="0"/>
        <w:jc w:val="both"/>
        <w:rPr>
          <w:color w:val="000000" w:themeColor="text1"/>
        </w:rPr>
      </w:pPr>
      <w:r>
        <w:rPr>
          <w:color w:val="000000" w:themeColor="text1"/>
        </w:rPr>
        <w:t>W przedmiotową wiązkę projektową wpisuje się również projekt z listy rezerwowej Gminy Włocławek, mający na celu poprawę efektywności energetycznej budynków użyteczności publicznej, co przyczyni się do zwiększenia odporności obszaru na negatywne skutki kryzysu klimatycznego oraz poprawy jakości środowiska przyrodniczego, zwłaszcza jakości powietrza.</w:t>
      </w:r>
    </w:p>
    <w:p>
      <w:pPr>
        <w:pStyle w:val="Normal"/>
        <w:spacing w:lineRule="auto" w:line="276" w:before="0" w:after="0"/>
        <w:jc w:val="both"/>
        <w:rPr>
          <w:rFonts w:cs="Calibri" w:cstheme="minorHAnsi"/>
          <w:color w:val="000000" w:themeColor="text1"/>
        </w:rPr>
      </w:pPr>
      <w:r>
        <w:rPr>
          <w:rFonts w:cs="Calibri" w:cstheme="minorHAnsi"/>
          <w:color w:val="000000" w:themeColor="text1"/>
        </w:rPr>
        <w:t xml:space="preserve">Efektem wspólnym dla całej wiązki projektowej będzie poprawa stanu środowiska naturalnego poprzez ograniczenie dwutlenku węgla, zmniejszenie zużycia energii cieplnej  i elektrycznej w sektorze mieszkaniowym i sektorze publicznym, zwiększenie izolacyjności termicznej obiektów, wykorzystanie energii pochodzącej z odnawialnych źródeł energii oraz poprawa estetyki budynków i jakości życia mieszkańców na terenie MOF Włocławek. Ponadto realizacja projektów odnosi się do wspólnego wykorzystania powstałej w wyniku realizacji inwestycji infrastruktury przez mieszkańców MOF Włocławek i do osiągnięcia wspólnego rezultatu, jakim jest podjęcie działań mających na celu poprawę efektywności energetycznej oraz redukcję emisji gazów cieplarnianych na terenie MOF Włocławek. </w:t>
      </w:r>
    </w:p>
    <w:p>
      <w:pPr>
        <w:pStyle w:val="Normal"/>
        <w:spacing w:lineRule="auto" w:line="276" w:before="0" w:after="0"/>
        <w:jc w:val="both"/>
        <w:rPr>
          <w:rFonts w:cs="Calibri" w:cstheme="minorHAnsi"/>
          <w:color w:val="FF0000"/>
        </w:rPr>
      </w:pPr>
      <w:r>
        <w:rPr>
          <w:rFonts w:cs="Calibri" w:cstheme="minorHAnsi"/>
          <w:color w:val="FF0000"/>
        </w:rPr>
      </w:r>
    </w:p>
    <w:p>
      <w:pPr>
        <w:pStyle w:val="Normal"/>
        <w:spacing w:lineRule="auto" w:line="276"/>
        <w:jc w:val="both"/>
        <w:rPr/>
      </w:pPr>
      <w:r>
        <w:rPr>
          <w:b/>
          <w:bCs/>
        </w:rPr>
        <w:t>Poprawa dostępu do dobrej jakości wody i zrównoważona gospodarka wodna oraz</w:t>
      </w:r>
      <w:r>
        <w:rPr/>
        <w:t xml:space="preserve"> </w:t>
      </w:r>
      <w:r>
        <w:rPr>
          <w:b/>
          <w:bCs/>
        </w:rPr>
        <w:t>działania adaptacyjne mające na celu budowanie odporności i przystosowanie do zmian klimatu</w:t>
      </w:r>
      <w:r>
        <w:rPr/>
        <w:t xml:space="preserve"> – 9 projektów realizowanych w 9 gminach polegające na modernizacji systemów wodociągowych i stacji uzdatniania wody oraz wprowadzeniu rozwiązań mających na celu oszczędzanie wody, a także tworzeniu niebieskiej i zielonej infrastruktury. Wiązka projektów będzie realizowała zadania w ramach celu szczegółowego „Zielona transformacja i gospodarka niskoemisyjna”.</w:t>
      </w:r>
    </w:p>
    <w:p>
      <w:pPr>
        <w:pStyle w:val="Normal"/>
        <w:spacing w:lineRule="auto" w:line="276" w:before="0" w:after="0"/>
        <w:jc w:val="both"/>
        <w:rPr>
          <w:color w:val="000000" w:themeColor="text1"/>
        </w:rPr>
      </w:pPr>
      <w:r>
        <w:rPr>
          <w:color w:val="000000" w:themeColor="text1"/>
        </w:rPr>
        <w:t xml:space="preserve">W przedmiotową wiązkę projektową wpisuje się również projekt z listy rezerwowej Gminy Boniewo, mający na celu wzrost bezpieczeństwa zapotrzebowania na wodę pitną oraz poprawę jej jakości. </w:t>
      </w:r>
    </w:p>
    <w:p>
      <w:pPr>
        <w:pStyle w:val="Normal"/>
        <w:spacing w:lineRule="auto" w:line="276" w:before="0" w:after="0"/>
        <w:jc w:val="both"/>
        <w:rPr>
          <w:color w:val="000000" w:themeColor="text1"/>
        </w:rPr>
      </w:pPr>
      <w:r>
        <w:rPr>
          <w:color w:val="000000" w:themeColor="text1"/>
        </w:rPr>
        <w:t>W przedmiotową wiązkę projektową wpisuje się również projekt z listy rezerwowej Gminy Miasto Włocławek, mający na celu podjęcie działań w zakresie łagodzenia zmian klimatu przy zastosowaniu podejścia  ekosystemowego, mającego na celu ochronę oraz wzrost powierzchni zasobów przyrodniczych.</w:t>
      </w:r>
    </w:p>
    <w:p>
      <w:pPr>
        <w:pStyle w:val="Normal"/>
        <w:spacing w:lineRule="auto" w:line="276" w:before="0" w:after="0"/>
        <w:jc w:val="both"/>
        <w:rPr>
          <w:color w:val="000000" w:themeColor="text1"/>
        </w:rPr>
      </w:pPr>
      <w:r>
        <w:rPr>
          <w:color w:val="000000" w:themeColor="text1"/>
        </w:rPr>
      </w:r>
    </w:p>
    <w:p>
      <w:pPr>
        <w:pStyle w:val="Normal"/>
        <w:spacing w:lineRule="auto" w:line="276" w:before="0" w:after="0"/>
        <w:jc w:val="both"/>
        <w:rPr>
          <w:rFonts w:cs="Calibri" w:cstheme="minorHAnsi"/>
          <w:color w:val="000000" w:themeColor="text1"/>
        </w:rPr>
      </w:pPr>
      <w:r>
        <w:rPr>
          <w:rFonts w:cs="Calibri" w:cstheme="minorHAnsi"/>
          <w:color w:val="000000" w:themeColor="text1"/>
        </w:rPr>
        <w:t>Efektem wspólnym dla całej wiązki projektowej będzie poprawa jakości środowiska naturalnego oraz poprawa jakości życia mieszkańców na terenie MOF Włocławek, wzrost bezpieczeństwa</w:t>
        <w:br/>
        <w:t xml:space="preserve"> w dostarczaniu wody pitnej oraz poprawa jej jakości. Ponadto realizacja projektów odnosi</w:t>
        <w:br/>
        <w:t xml:space="preserve">się do wspólnego wykorzystania powstałej w wyniku realizacji inwestycji infrastruktury przez mieszkańców MOF Włocławek, ograniczenia strat oraz zwiększenia efektywności wykorzystania wody na terenie MOF Włocławek. Przyczyni się do osiągnięcia wspólnego rezultatu, jakim jest zrównoważona gospodarka wodna oraz adaptacja do zmian klimatu na terenie MOF Włocławek. </w:t>
      </w:r>
    </w:p>
    <w:p>
      <w:pPr>
        <w:pStyle w:val="Normal"/>
        <w:spacing w:lineRule="auto" w:line="276"/>
        <w:jc w:val="both"/>
        <w:rPr>
          <w:b/>
          <w:bCs/>
        </w:rPr>
      </w:pPr>
      <w:r>
        <w:rPr>
          <w:b/>
          <w:bCs/>
        </w:rPr>
      </w:r>
    </w:p>
    <w:p>
      <w:pPr>
        <w:pStyle w:val="Normal"/>
        <w:spacing w:lineRule="auto" w:line="276"/>
        <w:jc w:val="both"/>
        <w:rPr/>
      </w:pPr>
      <w:r>
        <w:rPr>
          <w:b/>
          <w:bCs/>
        </w:rPr>
        <w:t>Wychowanie przedszkolne</w:t>
      </w:r>
      <w:r>
        <w:rPr/>
        <w:t xml:space="preserve"> – obejmuje grupę 9 projektów, które będą realizowane na obszarze 7 gmin z obszaru MOF. Projekty będą dotyczyć zarówno inwestycji w infrastrukturę, jak i będą miały na celu podniesienie jakości już istniejących miejsc wychowania przedszkolnego. Wiązka projektów będzie realizowała zadania w ramach celu szczegółowego „Wysoka jakość życia społeczeństwa”.</w:t>
      </w:r>
    </w:p>
    <w:p>
      <w:pPr>
        <w:pStyle w:val="Normal"/>
        <w:spacing w:lineRule="auto" w:line="276" w:before="0" w:after="0"/>
        <w:jc w:val="both"/>
        <w:rPr>
          <w:rFonts w:cs="Calibri" w:cstheme="minorHAnsi"/>
          <w:color w:val="000000" w:themeColor="text1"/>
        </w:rPr>
      </w:pPr>
      <w:r>
        <w:rPr>
          <w:rFonts w:cs="Calibri" w:cstheme="minorHAnsi"/>
          <w:color w:val="000000" w:themeColor="text1"/>
        </w:rPr>
        <w:t xml:space="preserve">Efektem wspólnym dla całej wiązki projektowej będzie zwiększenie szans edukacyjnych, poprawa jakości życia mieszkańców oraz wzrost rozwoju społecznego na terenie MOF Włocławek. Ponadto efektem wspólnym będzie poprawa warunków nauczania oraz podniesienie jakości kształcenia </w:t>
        <w:br/>
        <w:t xml:space="preserve">na terenie MOF Włocławek. Realizacja projektów odnosi się do wspólnego wykorzystania powstałej </w:t>
        <w:br/>
        <w:t xml:space="preserve">w wyniku realizacji inwestycji infrastruktury i do osiągnięcia wspólnego rezultatu, jakim jest stworzenie nowych miejsc w przedszkolach oraz podniesienie jakości funkcjonujących miejsc wychowania przedszkolnego na terenie MOF Włocławek.   </w:t>
      </w:r>
    </w:p>
    <w:p>
      <w:pPr>
        <w:pStyle w:val="Normal"/>
        <w:spacing w:lineRule="auto" w:line="276"/>
        <w:jc w:val="both"/>
        <w:rPr>
          <w:b/>
          <w:bCs/>
        </w:rPr>
      </w:pPr>
      <w:r>
        <w:rPr>
          <w:b/>
          <w:bCs/>
        </w:rPr>
      </w:r>
    </w:p>
    <w:p>
      <w:pPr>
        <w:pStyle w:val="Normal"/>
        <w:spacing w:lineRule="auto" w:line="276"/>
        <w:jc w:val="both"/>
        <w:rPr/>
      </w:pPr>
      <w:r>
        <w:rPr>
          <w:b/>
          <w:bCs/>
        </w:rPr>
        <w:t>Kształcenie ogólne</w:t>
      </w:r>
      <w:r>
        <w:rPr/>
        <w:t xml:space="preserve"> – 12 projektów zaplanowanych do realizacji w 11 gminach, mające na celu podniesienie jakości kształcenia i rozwój kompetencji kluczowych uczniów szkół podstawowych </w:t>
        <w:br/>
        <w:t xml:space="preserve">oraz ponadpodstawowych ogólnokształcących. Wiązka projektów będzie realizowała zadania </w:t>
        <w:br/>
        <w:t>w ramach celu szczegółowego „Wysoka jakość życia społeczeństwa”.</w:t>
      </w:r>
    </w:p>
    <w:p>
      <w:pPr>
        <w:pStyle w:val="Normal"/>
        <w:spacing w:lineRule="auto" w:line="276" w:before="0" w:after="0"/>
        <w:jc w:val="both"/>
        <w:rPr>
          <w:rFonts w:cs="Calibri" w:cstheme="minorHAnsi"/>
          <w:color w:val="000000" w:themeColor="text1"/>
        </w:rPr>
      </w:pPr>
      <w:bookmarkStart w:id="209" w:name="_Hlk136414859"/>
      <w:r>
        <w:rPr>
          <w:rFonts w:cs="Calibri" w:cstheme="minorHAnsi"/>
          <w:color w:val="000000" w:themeColor="text1"/>
        </w:rPr>
        <w:t xml:space="preserve">Efektem wspólnym dla całej wiązki projektowej będzie </w:t>
      </w:r>
      <w:bookmarkEnd w:id="209"/>
      <w:r>
        <w:rPr>
          <w:rFonts w:cs="Calibri" w:cstheme="minorHAnsi"/>
          <w:color w:val="000000" w:themeColor="text1"/>
        </w:rPr>
        <w:t xml:space="preserve">podniesienie efektywności i jakości kształcenia ogólnego na terenie MOF Włocławek oraz wzrost poziomu rozwoju społecznego. Ponadto efektem wspólnym będzie również wyrównanie szans edukacyjnych mieszkańców na terenie MOF Włocławek oraz osiągnięcie wspólnego rezultatu, jakim jest stworzenie wysokiej jakości życia mieszkańców </w:t>
        <w:br/>
        <w:t xml:space="preserve">MOF Włocławka.  </w:t>
      </w:r>
    </w:p>
    <w:p>
      <w:pPr>
        <w:pStyle w:val="Normal"/>
        <w:spacing w:lineRule="auto" w:line="276"/>
        <w:jc w:val="both"/>
        <w:rPr>
          <w:b/>
          <w:bCs/>
        </w:rPr>
      </w:pPr>
      <w:r>
        <w:rPr>
          <w:b/>
          <w:bCs/>
        </w:rPr>
      </w:r>
    </w:p>
    <w:p>
      <w:pPr>
        <w:pStyle w:val="Normal"/>
        <w:spacing w:lineRule="auto" w:line="276"/>
        <w:jc w:val="both"/>
        <w:rPr/>
      </w:pPr>
      <w:r>
        <w:rPr>
          <w:b/>
          <w:bCs/>
        </w:rPr>
        <w:t>Opieka zdrowotna</w:t>
      </w:r>
      <w:r>
        <w:rPr/>
        <w:t xml:space="preserve"> – 2 projekty (realizowane w gminie Izbica Kujawska oraz w mieście Włocławek przez Powiat Włocławski) dotyczące rozwoju i wsparcia usług z zakresu opieki zdrowotnej, co przyczyni się do zwiększenia dostępności do tego typu usług na obszarze MOF. Wiązka projektów będzie realizowała zadania w ramach celu szczegółowego „Wysoka jakość życia społeczeństwa”.</w:t>
      </w:r>
    </w:p>
    <w:p>
      <w:pPr>
        <w:pStyle w:val="Normal"/>
        <w:spacing w:lineRule="auto" w:line="276" w:before="0" w:after="0"/>
        <w:jc w:val="both"/>
        <w:rPr>
          <w:rFonts w:cs="Calibri" w:cstheme="minorHAnsi"/>
          <w:color w:val="000000" w:themeColor="text1"/>
        </w:rPr>
      </w:pPr>
      <w:bookmarkStart w:id="210" w:name="_Hlk136414799"/>
      <w:r>
        <w:rPr>
          <w:rFonts w:cs="Calibri" w:cstheme="minorHAnsi"/>
          <w:color w:val="000000" w:themeColor="text1"/>
        </w:rPr>
        <w:t xml:space="preserve">Efektem wspólnym dla całej wiązki projektowej będzie </w:t>
      </w:r>
      <w:bookmarkEnd w:id="210"/>
      <w:r>
        <w:rPr>
          <w:rFonts w:cs="Calibri" w:cstheme="minorHAnsi"/>
          <w:color w:val="000000" w:themeColor="text1"/>
        </w:rPr>
        <w:t xml:space="preserve">poprawa dostępności i jakości świadczeń </w:t>
        <w:br/>
        <w:t xml:space="preserve">usługi opieki zdrowotnej dla mieszkańców MOF Włocławka poprzez wzrost efektywności leczenia oraz zwiększenie dostępu do usług publicznych. Ponadto realizacja projektów odnosi się do wspólnego wykorzystania powstałej w wyniku realizacji inwestycji infrastruktury i do osiągnięcia wspólnego rezultatu, jakim jest stworzenie wysokiej jakości życia społeczeństwa na terenie MOF Włocławek. </w:t>
      </w:r>
    </w:p>
    <w:p>
      <w:pPr>
        <w:pStyle w:val="Normal"/>
        <w:spacing w:lineRule="auto" w:line="276"/>
        <w:jc w:val="both"/>
        <w:rPr>
          <w:b/>
          <w:bCs/>
        </w:rPr>
      </w:pPr>
      <w:r>
        <w:rPr>
          <w:b/>
          <w:bCs/>
        </w:rPr>
      </w:r>
    </w:p>
    <w:p>
      <w:pPr>
        <w:pStyle w:val="Normal"/>
        <w:spacing w:lineRule="auto" w:line="276"/>
        <w:jc w:val="both"/>
        <w:rPr/>
      </w:pPr>
      <w:r>
        <w:rPr>
          <w:b/>
          <w:bCs/>
        </w:rPr>
        <w:t>Wsparcie instytucji kultury</w:t>
      </w:r>
      <w:r>
        <w:rPr/>
        <w:t xml:space="preserve"> – 7 projektów realizowanych w 7 gminach, mających na celu upowszechnienie i poprawę dostępności do działalności kulturalnej poprzez działania infrastrukturalne oraz doposażenie instytucji kultury. Wiązka projektów będzie realizowała zadania w ramach celu szczegółowego „Wysoka jakość życia społeczeństwa”.</w:t>
      </w:r>
    </w:p>
    <w:p>
      <w:pPr>
        <w:pStyle w:val="Normal"/>
        <w:spacing w:lineRule="auto" w:line="276" w:before="0" w:after="0"/>
        <w:jc w:val="both"/>
        <w:rPr>
          <w:color w:val="000000" w:themeColor="text1"/>
        </w:rPr>
      </w:pPr>
      <w:r>
        <w:rPr>
          <w:color w:val="000000" w:themeColor="text1"/>
        </w:rPr>
        <w:t>W przedmiotową wiązkę projektową wpisuje się również projekt z listy rezerwowej Gminy Boniewo, mający na celu wsparcie instytucji kultury poprzez zapewnienie dostępu do lokalnej infrastruktury.</w:t>
      </w:r>
    </w:p>
    <w:p>
      <w:pPr>
        <w:pStyle w:val="Normal"/>
        <w:spacing w:lineRule="auto" w:line="276" w:before="0" w:after="0"/>
        <w:jc w:val="both"/>
        <w:rPr>
          <w:color w:val="000000" w:themeColor="text1"/>
        </w:rPr>
      </w:pPr>
      <w:r>
        <w:rPr>
          <w:color w:val="000000" w:themeColor="text1"/>
        </w:rPr>
      </w:r>
    </w:p>
    <w:p>
      <w:pPr>
        <w:pStyle w:val="Normal"/>
        <w:spacing w:lineRule="auto" w:line="276" w:before="0" w:after="0"/>
        <w:jc w:val="both"/>
        <w:rPr>
          <w:rFonts w:cs="Calibri" w:cstheme="minorHAnsi"/>
          <w:color w:val="000000" w:themeColor="text1"/>
        </w:rPr>
      </w:pPr>
      <w:r>
        <w:rPr>
          <w:rFonts w:cs="Calibri" w:cstheme="minorHAnsi"/>
          <w:color w:val="000000" w:themeColor="text1"/>
        </w:rPr>
        <w:t xml:space="preserve">Efektem wspólnym dla całej wiązki projektowej będzie wzrost rozwoju społecznego i kulturalnego mieszkańców zamieszkujących obszar MOF Włocławek, zwiększenie atrakcyjności poprzez poszerzenie dostępności do instytucji kultury oraz poprawa jakości życia mieszkańców MOF Włocławek. Ponadto realizacja projektów odnosi się do wspólnego wykorzystania powstałej w wyniku realizacji inwestycji infrastruktury przez mieszkańców MOF Włocławek i do osiągnięcia wspólnego rezultatu, jakim jest zapewnienie dostępu do lokalnej infrastruktury kultury dla społeczeństwa MOF Włocławek.  </w:t>
      </w:r>
    </w:p>
    <w:p>
      <w:pPr>
        <w:pStyle w:val="Normal"/>
        <w:spacing w:lineRule="auto" w:line="276" w:before="0" w:after="0"/>
        <w:jc w:val="both"/>
        <w:rPr>
          <w:rFonts w:cs="Calibri" w:cstheme="minorHAnsi"/>
          <w:color w:val="FF0000"/>
        </w:rPr>
      </w:pPr>
      <w:r>
        <w:rPr>
          <w:rFonts w:cs="Calibri" w:cstheme="minorHAnsi"/>
          <w:color w:val="FF0000"/>
        </w:rPr>
      </w:r>
    </w:p>
    <w:p>
      <w:pPr>
        <w:pStyle w:val="Normal"/>
        <w:spacing w:lineRule="auto" w:line="276"/>
        <w:jc w:val="both"/>
        <w:rPr>
          <w:b/>
          <w:bCs/>
        </w:rPr>
      </w:pPr>
      <w:r>
        <w:rPr>
          <w:b/>
          <w:bCs/>
        </w:rPr>
        <w:t xml:space="preserve">Rozwój turystyki </w:t>
      </w:r>
      <w:r>
        <w:rPr/>
        <w:t xml:space="preserve"> – wiązka 4 projektów realizowanych w gminach Baruchowo, Chodecz, Izbica Kujawska oraz Lubraniec, mających na celu rozwój funkcji turystycznej w oparciu o zidentyfikowany potencjał przyrodniczy i kulturowy, obejmujących rozwój infrastruktury turystycznej. Wiązka projektów będzie realizowała zadania w ramach celu szczegółowego „Atrakcyjna i dostępna przestrzeń”.</w:t>
      </w:r>
      <w:r>
        <w:rPr>
          <w:b/>
          <w:bCs/>
        </w:rPr>
        <w:t xml:space="preserve"> </w:t>
      </w:r>
    </w:p>
    <w:p>
      <w:pPr>
        <w:pStyle w:val="Normal"/>
        <w:spacing w:lineRule="auto" w:line="276"/>
        <w:jc w:val="both"/>
        <w:rPr>
          <w:color w:val="000000" w:themeColor="text1"/>
        </w:rPr>
      </w:pPr>
      <w:r>
        <w:rPr>
          <w:color w:val="000000" w:themeColor="text1"/>
        </w:rPr>
        <w:t xml:space="preserve">W przedmiotową wiązkę projektową wpisuje się również projekt z listy rezerwowej Gminy Lubraniec, mający na celu rozwój infrastruktury turystycznej w oparciu o zidentyfikowany na terenie gminy potencjał turystyczny, poprzez zaplanowanie działań dotyczących tworzeniu szlaków turystycznych.   </w:t>
      </w:r>
    </w:p>
    <w:p>
      <w:pPr>
        <w:pStyle w:val="Normal"/>
        <w:spacing w:lineRule="auto" w:line="276"/>
        <w:jc w:val="both"/>
        <w:rPr>
          <w:color w:val="000000" w:themeColor="text1"/>
        </w:rPr>
      </w:pPr>
      <w:r>
        <w:rPr>
          <w:color w:val="000000" w:themeColor="text1"/>
        </w:rPr>
        <w:t xml:space="preserve">W wiązkę projektową wpisuje się również projekt z listy rezerwowej Gminy Brześć Kujawski, mający </w:t>
        <w:br/>
        <w:t xml:space="preserve">na celu rozwój infrastruktury turystycznej poprzez zaplanowanie działań dotyczących budowy infrastruktury poprawiającej dostępność obiektów i atrakcji turystycznych oraz zagospodarowanie jej bezpośredniego otoczenia. </w:t>
      </w:r>
    </w:p>
    <w:p>
      <w:pPr>
        <w:pStyle w:val="Normal"/>
        <w:spacing w:lineRule="auto" w:line="276"/>
        <w:jc w:val="both"/>
        <w:rPr>
          <w:rFonts w:cs="Calibri" w:cstheme="minorHAnsi"/>
          <w:color w:val="000000" w:themeColor="text1"/>
        </w:rPr>
      </w:pPr>
      <w:r>
        <w:rPr>
          <w:rFonts w:cs="Calibri" w:cstheme="minorHAnsi"/>
          <w:color w:val="000000" w:themeColor="text1"/>
        </w:rPr>
        <w:t xml:space="preserve">Efektem wspólnym dla całej wiązki projektowej będzie zwiększenie walorów środowiskowych oraz atrakcyjności MOF Włocławek, poprawa jakości i funkcjonalności zagospodarowanych terenów, poprawa jakości życia mieszkańców MOF Włocławek oraz wspieranie rozwoju gospodarczego terenu MOF Włocławek. Ponadto realizacja projektów odnosi się do wspólnego wykorzystania powstałej </w:t>
        <w:br/>
        <w:t xml:space="preserve">w wyniku realizacji inwestycji infrastruktury przez społeczeństwo MOF Włocławek oraz do osiągnięcia wspólnego rezultatu, jakim jest stworzenie potencjału turystycznego oraz walorów kulturowo – przyrodniczych na obszarze MOF Włocławek. </w:t>
      </w:r>
    </w:p>
    <w:p>
      <w:pPr>
        <w:pStyle w:val="Normal"/>
        <w:spacing w:lineRule="auto" w:line="276"/>
        <w:jc w:val="both"/>
        <w:rPr/>
      </w:pPr>
      <w:r>
        <w:rPr>
          <w:b/>
          <w:bCs/>
        </w:rPr>
        <w:t>Odnowa przestrzeni publicznych</w:t>
      </w:r>
      <w:r>
        <w:rPr/>
        <w:t xml:space="preserve"> – wiązka 12 projektów realizowanych w 12 gminach, mających </w:t>
        <w:br/>
        <w:t xml:space="preserve">na celu przywrócenie lub nadanie nowych funkcji zdegradowanym obiektom i przestrzeniom </w:t>
        <w:br/>
        <w:t>oraz zagospodarowanie przestrzeni publicznych w celu udostępnienia ich mieszkańcom. Wiązka projektów będzie realizowała zadania w ramach celu szczegółowego „Atrakcyjna i dostępna przestrzeń”.</w:t>
      </w:r>
    </w:p>
    <w:p>
      <w:pPr>
        <w:pStyle w:val="Normal"/>
        <w:spacing w:lineRule="auto" w:line="276"/>
        <w:jc w:val="both"/>
        <w:rPr>
          <w:color w:val="000000" w:themeColor="text1"/>
        </w:rPr>
      </w:pPr>
      <w:r>
        <w:rPr>
          <w:color w:val="000000" w:themeColor="text1"/>
        </w:rPr>
        <w:t xml:space="preserve">W przedmiotową wiązkę projektową wpisuje się również projekt z listy rezerwowej Gminy Lubanie, mający na celu podwyższenie poziomu rozwoju społecznego poprzez adaptację przestrzeni publicznej oraz stworzenie przestrzeni kulturalno – rekreacyjnej. </w:t>
      </w:r>
    </w:p>
    <w:p>
      <w:pPr>
        <w:pStyle w:val="Normal"/>
        <w:spacing w:lineRule="auto" w:line="276"/>
        <w:jc w:val="both"/>
        <w:rPr>
          <w:color w:val="000000" w:themeColor="text1"/>
        </w:rPr>
      </w:pPr>
      <w:r>
        <w:rPr>
          <w:color w:val="000000" w:themeColor="text1"/>
        </w:rPr>
        <w:t>W wiązkę projektową wpisuje się również projekt z listy rezerwowej Gminy Boniewo, mający na celu poprawę warunków życia mieszkańców, przyczyniając się do rozwoju przestrzeni publicznej poprzez adaptację i zagospodarowanie terenów.</w:t>
      </w:r>
    </w:p>
    <w:p>
      <w:pPr>
        <w:pStyle w:val="Normal"/>
        <w:spacing w:lineRule="auto" w:line="276" w:before="0" w:after="0"/>
        <w:jc w:val="both"/>
        <w:rPr>
          <w:rFonts w:cs="Calibri" w:cstheme="minorHAnsi"/>
          <w:color w:val="000000" w:themeColor="text1"/>
        </w:rPr>
      </w:pPr>
      <w:r>
        <w:rPr>
          <w:rFonts w:cs="Calibri" w:cstheme="minorHAnsi"/>
          <w:color w:val="000000" w:themeColor="text1"/>
        </w:rPr>
        <w:t>Efektem wspólnym dla całej wiązki projektowej będzie zwiększenie poziomu uczestnictwa mieszkańców z obszaru MOF w życie kulturalne i społeczne, poprawa jakości życia mieszkańców</w:t>
        <w:br/>
        <w:t xml:space="preserve"> oraz atrakcyjności obszaru MOF Włocławek. Efektem wspólnym będzie również uporządkowanie                         i zagospodarowanie przestrzeni publicznej dla mieszkańców MOF Włocławek. Ponadto realizacja projektów odnosi się do wspólnego wykorzystania powstałej w wyniku realizacji inwestycji infrastruktury i do osiągnięcia wspólnego rezultatu, jakim jest stworzenie atrakcyjnej i dostępnej przestrzeni.</w:t>
      </w:r>
    </w:p>
    <w:p>
      <w:pPr>
        <w:pStyle w:val="Normal"/>
        <w:spacing w:lineRule="auto" w:line="276" w:before="0" w:after="0"/>
        <w:jc w:val="both"/>
        <w:rPr>
          <w:rFonts w:ascii="Arial Narrow" w:hAnsi="Arial Narrow"/>
          <w:color w:val="000000" w:themeColor="text1"/>
          <w:sz w:val="24"/>
          <w:szCs w:val="24"/>
        </w:rPr>
      </w:pPr>
      <w:r>
        <w:rPr>
          <w:rFonts w:ascii="Arial Narrow" w:hAnsi="Arial Narrow"/>
          <w:color w:val="000000" w:themeColor="text1"/>
          <w:sz w:val="24"/>
          <w:szCs w:val="24"/>
        </w:rPr>
      </w:r>
    </w:p>
    <w:p>
      <w:pPr>
        <w:pStyle w:val="Normal"/>
        <w:spacing w:lineRule="auto" w:line="276" w:before="0" w:after="0"/>
        <w:jc w:val="both"/>
        <w:rPr>
          <w:rFonts w:cs="Calibri" w:cstheme="minorHAnsi"/>
          <w:color w:val="000000" w:themeColor="text1"/>
        </w:rPr>
      </w:pPr>
      <w:r>
        <w:rPr>
          <w:rFonts w:cs="Calibri" w:cstheme="minorHAnsi"/>
          <w:b/>
          <w:bCs/>
          <w:color w:val="000000" w:themeColor="text1"/>
        </w:rPr>
        <w:t>Rewitalizacja</w:t>
      </w:r>
      <w:r>
        <w:rPr>
          <w:rFonts w:cs="Calibri" w:cstheme="minorHAnsi"/>
          <w:color w:val="000000" w:themeColor="text1"/>
        </w:rPr>
        <w:t xml:space="preserve"> - jest odrębnym instrumentem terytorialnym (instrument wdrażany na podstawie programu rewitalizacji). Efektem realizacji projektu będzie przeciwdziałanie degradacji przestrzeni, poprawa jakości życia mieszkańców na terenie MOF Włocławek oraz zwiększenie atrakcyjności stworzonej w ramach projektu infrastruktury. Efektem będzie wspólne wykorzystanie stworzonej </w:t>
        <w:br/>
        <w:t xml:space="preserve">w ramach projektu infrastruktury przez mieszkańców MOF Włocławek. </w:t>
      </w:r>
    </w:p>
    <w:p>
      <w:pPr>
        <w:pStyle w:val="Normal"/>
        <w:spacing w:lineRule="auto" w:line="276"/>
        <w:jc w:val="both"/>
        <w:rPr/>
      </w:pPr>
      <w:r>
        <w:rPr/>
      </w:r>
    </w:p>
    <w:p>
      <w:pPr>
        <w:pStyle w:val="Normal"/>
        <w:spacing w:lineRule="auto" w:line="276"/>
        <w:jc w:val="both"/>
        <w:rPr>
          <w:rFonts w:cs="Calibri" w:cstheme="minorHAnsi"/>
        </w:rPr>
      </w:pPr>
      <w:r>
        <w:rPr>
          <w:b/>
          <w:bCs/>
        </w:rPr>
        <w:t>Wsparcie administracyjne</w:t>
      </w:r>
      <w:r>
        <w:rPr/>
        <w:t xml:space="preserve"> – 2 projekty mające na celu wsparcie pracowników wykonujących obowiązki związane z realizacją działań w ramach Polityki Terytorialnej oraz zakup wyposażenia biurowego. Wiązka projektów będzie realizowała zadania w ramach celu szczegółowego „</w:t>
      </w:r>
      <w:r>
        <w:rPr>
          <w:rFonts w:cs="Calibri" w:cstheme="minorHAnsi"/>
        </w:rPr>
        <w:t>Wsparcie administracyjne”.</w:t>
      </w:r>
    </w:p>
    <w:p>
      <w:pPr>
        <w:pStyle w:val="Normal"/>
        <w:spacing w:lineRule="auto" w:line="276"/>
        <w:jc w:val="both"/>
        <w:rPr>
          <w:rFonts w:cs="Calibri" w:cstheme="minorHAnsi"/>
          <w:color w:val="000000" w:themeColor="text1"/>
        </w:rPr>
      </w:pPr>
      <w:r>
        <w:rPr>
          <w:rFonts w:cs="Calibri" w:cstheme="minorHAnsi"/>
          <w:color w:val="000000" w:themeColor="text1"/>
        </w:rPr>
        <w:t>Efektem wspólnym dla całej wiązki projektowej jest powołanie przez samorządy Miejskiego Obszaru Funkcjonalnego Włocławka Stowarzyszenia WŁOF, celem  zapewnienia zrównoważonego rozwoju miast i gmin MOF Włocławka, zacieśnienia partnerskiej współpracy samorządowej, a także w celu efektywnego wykorzystania możliwości określonych w ramach perspektywy finansowej 2021-2027.</w:t>
      </w:r>
    </w:p>
    <w:p>
      <w:pPr>
        <w:pStyle w:val="Normal"/>
        <w:spacing w:lineRule="auto" w:line="276"/>
        <w:jc w:val="both"/>
        <w:rPr>
          <w:rFonts w:cs="Calibri" w:cstheme="minorHAnsi"/>
          <w:color w:val="000000" w:themeColor="text1"/>
        </w:rPr>
      </w:pPr>
      <w:r>
        <w:rPr>
          <w:rFonts w:cs="Calibri" w:cstheme="minorHAnsi"/>
          <w:color w:val="000000" w:themeColor="text1"/>
        </w:rPr>
        <w:t xml:space="preserve">Projekty wskazane w powyższych wiązkach będą komplementarne z projektami realizowanymi m.in. w ramach RLKS (Rozwój Lokalny Kierowany przez Społeczność). Obydwa instrumenty terytorialne, tj. ZIT i RLKS łączy oddolność z jednoczesnym dopełnieniem zasady komplementarności, terytorialność, partnerstwo i współpraca. Poziom komplementarności projektów w ZIT i RLKS może dotyczyć m.in. działań wpisujących się w zakres wsparcia i cele dedykowane w ramach EFS+, czy działań społecznych zaplanowanych do realizacji w ramach RLKS na infrastrukturze wspieranej w ramach ZIT. </w:t>
        <w:br/>
        <w:t xml:space="preserve">Dla zachowania zrównoważonego rozwoju, strategie będą miały charakter uzupełniający, a zakres wsparcia będzie skierowany na zaspokajanie potrzeb społeczno – gospodarczych. Wzajemnemu oddziaływaniu i uzupełnianiu tych instrumentów sprzyjać będzie brak ograniczeń w grupie docelowej w RLKS, gdyż grupę docelową tworzyć będą wszyscy mieszkańcy obszaru objętego Lokalną Strategią Rozwoju oraz pokrywający się obszar oddziaływania. Zatem zasada komplementarności zostaje spełniona, gdyż zarówno działania/projekty ujęte w ramach ZIT i RLKS będą ze sobą spójne i w sposób zintegrowany będą wspierać obszary prowadzenia Polityki terytorialnej Województwa Kujawsko – Pomorskiego. </w:t>
      </w:r>
    </w:p>
    <w:p>
      <w:pPr>
        <w:pStyle w:val="TytuMAPiTABEL"/>
        <w:rPr/>
      </w:pPr>
      <w:r>
        <w:rPr/>
        <w:t>Tabela 27. Powiązanie wiązek projektów z celami rozwojowymi Strategii.</w:t>
      </w:r>
    </w:p>
    <w:tbl>
      <w:tblPr>
        <w:tblStyle w:val="Tabela-Siatka"/>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76"/>
        <w:gridCol w:w="5197"/>
        <w:gridCol w:w="1388"/>
        <w:gridCol w:w="908"/>
      </w:tblGrid>
      <w:tr>
        <w:trPr>
          <w:trHeight w:val="600" w:hRule="atLeast"/>
        </w:trPr>
        <w:tc>
          <w:tcPr>
            <w:tcW w:w="1576" w:type="dxa"/>
            <w:tcBorders>
              <w:top w:val="single" w:sz="12" w:space="0" w:color="AAAAAA"/>
              <w:left w:val="single" w:sz="12" w:space="0" w:color="AAAAAA"/>
              <w:bottom w:val="single" w:sz="12" w:space="0" w:color="AAAAAA"/>
              <w:right w:val="single" w:sz="12" w:space="0" w:color="AAAAAA"/>
            </w:tcBorders>
            <w:shd w:color="auto" w:fill="75B4F3" w:val="clear"/>
            <w:vAlign w:val="center"/>
          </w:tcPr>
          <w:p>
            <w:pPr>
              <w:pStyle w:val="Normal"/>
              <w:widowControl/>
              <w:spacing w:lineRule="auto" w:line="240" w:before="0" w:after="160"/>
              <w:contextualSpacing/>
              <w:jc w:val="center"/>
              <w:rPr>
                <w:rFonts w:cs="Calibri" w:cstheme="minorHAnsi"/>
                <w:b/>
                <w:bCs/>
                <w:sz w:val="18"/>
                <w:szCs w:val="18"/>
              </w:rPr>
            </w:pPr>
            <w:r>
              <w:rPr>
                <w:rFonts w:cs="Calibri" w:cstheme="minorHAnsi"/>
                <w:b/>
                <w:bCs/>
                <w:kern w:val="0"/>
                <w:sz w:val="18"/>
                <w:szCs w:val="18"/>
                <w:lang w:val="pl-PL" w:eastAsia="en-US" w:bidi="ar-SA"/>
              </w:rPr>
              <w:t>NAZWA WIĄZKI PROJEKTÓW</w:t>
            </w:r>
          </w:p>
        </w:tc>
        <w:tc>
          <w:tcPr>
            <w:tcW w:w="5197" w:type="dxa"/>
            <w:tcBorders>
              <w:top w:val="single" w:sz="12" w:space="0" w:color="AAAAAA"/>
              <w:left w:val="single" w:sz="12" w:space="0" w:color="AAAAAA"/>
              <w:bottom w:val="single" w:sz="12" w:space="0" w:color="AAAAAA"/>
              <w:right w:val="single" w:sz="12" w:space="0" w:color="AAAAAA"/>
            </w:tcBorders>
            <w:shd w:color="auto" w:fill="75B4F3" w:val="clear"/>
            <w:vAlign w:val="center"/>
          </w:tcPr>
          <w:p>
            <w:pPr>
              <w:pStyle w:val="Normal"/>
              <w:widowControl/>
              <w:spacing w:lineRule="auto" w:line="240" w:before="0" w:after="160"/>
              <w:contextualSpacing/>
              <w:jc w:val="center"/>
              <w:rPr>
                <w:rFonts w:cs="Calibri" w:cstheme="minorHAnsi"/>
                <w:b/>
                <w:bCs/>
                <w:sz w:val="18"/>
                <w:szCs w:val="18"/>
              </w:rPr>
            </w:pPr>
            <w:r>
              <w:rPr>
                <w:rFonts w:cs="Calibri" w:cstheme="minorHAnsi"/>
                <w:b/>
                <w:bCs/>
                <w:kern w:val="0"/>
                <w:sz w:val="18"/>
                <w:szCs w:val="18"/>
                <w:lang w:val="pl-PL" w:eastAsia="en-US" w:bidi="ar-SA"/>
              </w:rPr>
              <w:t>PROJEKTY</w:t>
            </w:r>
          </w:p>
        </w:tc>
        <w:tc>
          <w:tcPr>
            <w:tcW w:w="1388" w:type="dxa"/>
            <w:tcBorders>
              <w:top w:val="single" w:sz="12" w:space="0" w:color="AAAAAA"/>
              <w:left w:val="single" w:sz="12" w:space="0" w:color="AAAAAA"/>
              <w:bottom w:val="single" w:sz="12" w:space="0" w:color="AAAAAA"/>
              <w:right w:val="single" w:sz="12" w:space="0" w:color="AAAAAA"/>
            </w:tcBorders>
            <w:shd w:color="auto" w:fill="75B4F3" w:val="clear"/>
            <w:vAlign w:val="center"/>
          </w:tcPr>
          <w:p>
            <w:pPr>
              <w:pStyle w:val="Normal"/>
              <w:widowControl/>
              <w:spacing w:lineRule="auto" w:line="240" w:before="0" w:after="160"/>
              <w:contextualSpacing/>
              <w:jc w:val="center"/>
              <w:rPr>
                <w:rFonts w:cs="Calibri" w:cstheme="minorHAnsi"/>
                <w:b/>
                <w:bCs/>
                <w:sz w:val="18"/>
                <w:szCs w:val="18"/>
              </w:rPr>
            </w:pPr>
            <w:r>
              <w:rPr>
                <w:rFonts w:cs="Calibri" w:cstheme="minorHAnsi"/>
                <w:b/>
                <w:bCs/>
                <w:kern w:val="0"/>
                <w:sz w:val="18"/>
                <w:szCs w:val="18"/>
                <w:lang w:val="pl-PL" w:eastAsia="en-US" w:bidi="ar-SA"/>
              </w:rPr>
              <w:t>CELE SZCZEGÓŁOWE</w:t>
            </w:r>
          </w:p>
        </w:tc>
        <w:tc>
          <w:tcPr>
            <w:tcW w:w="908" w:type="dxa"/>
            <w:tcBorders>
              <w:top w:val="single" w:sz="12" w:space="0" w:color="AAAAAA"/>
              <w:left w:val="single" w:sz="12" w:space="0" w:color="AAAAAA"/>
              <w:bottom w:val="single" w:sz="12" w:space="0" w:color="AAAAAA"/>
              <w:right w:val="single" w:sz="12" w:space="0" w:color="AAAAAA"/>
            </w:tcBorders>
            <w:shd w:color="auto" w:fill="75B4F3" w:val="clear"/>
            <w:vAlign w:val="center"/>
          </w:tcPr>
          <w:p>
            <w:pPr>
              <w:pStyle w:val="Normal"/>
              <w:widowControl/>
              <w:spacing w:lineRule="auto" w:line="240" w:before="0" w:after="160"/>
              <w:contextualSpacing/>
              <w:jc w:val="center"/>
              <w:rPr>
                <w:rFonts w:cs="Calibri" w:cstheme="minorHAnsi"/>
                <w:b/>
                <w:bCs/>
                <w:sz w:val="18"/>
                <w:szCs w:val="18"/>
              </w:rPr>
            </w:pPr>
            <w:r>
              <w:rPr>
                <w:rFonts w:cs="Calibri" w:cstheme="minorHAnsi"/>
                <w:b/>
                <w:bCs/>
                <w:kern w:val="0"/>
                <w:sz w:val="18"/>
                <w:szCs w:val="18"/>
                <w:lang w:val="pl-PL" w:eastAsia="en-US" w:bidi="ar-SA"/>
              </w:rPr>
              <w:t>CEL GŁÓWNY</w:t>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color w:val="FFFFFF" w:themeColor="background1"/>
                <w:sz w:val="18"/>
                <w:szCs w:val="18"/>
              </w:rPr>
            </w:pPr>
            <w:r>
              <w:rPr>
                <w:rFonts w:cs=""/>
                <w:kern w:val="0"/>
                <w:sz w:val="18"/>
                <w:szCs w:val="18"/>
                <w:lang w:val="pl-PL" w:eastAsia="en-US" w:bidi="ar-SA"/>
              </w:rPr>
              <w:t>Wsparcie trwałego rozwoju i konkurencyjności gospodarki obszaru MOF</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 Sieć Włocławskiego Centrum Biznesu</w:t>
            </w:r>
          </w:p>
        </w:tc>
        <w:tc>
          <w:tcPr>
            <w:tcW w:w="1388" w:type="dxa"/>
            <w:vMerge w:val="restart"/>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color w:val="FFFFFF" w:themeColor="background1"/>
                <w:kern w:val="0"/>
                <w:sz w:val="18"/>
                <w:szCs w:val="18"/>
                <w:lang w:val="pl-PL" w:eastAsia="en-US" w:bidi="ar-SA"/>
              </w:rPr>
              <w:t>Gospodarka i wykształcone kadry</w:t>
            </w:r>
          </w:p>
        </w:tc>
        <w:tc>
          <w:tcPr>
            <w:tcW w:w="908" w:type="dxa"/>
            <w:vMerge w:val="restart"/>
            <w:tcBorders>
              <w:top w:val="single" w:sz="12" w:space="0" w:color="AAAAAA"/>
              <w:left w:val="single" w:sz="12" w:space="0" w:color="AAAAAA"/>
              <w:bottom w:val="single" w:sz="12" w:space="0" w:color="AAAAAA"/>
              <w:right w:val="single" w:sz="12" w:space="0" w:color="AAAAAA"/>
            </w:tcBorders>
            <w:shd w:color="auto" w:fill="143F7E" w:val="clear"/>
            <w:textDirection w:val="tbRl"/>
            <w:vAlign w:val="center"/>
          </w:tcPr>
          <w:p>
            <w:pPr>
              <w:pStyle w:val="Normal"/>
              <w:widowControl/>
              <w:spacing w:lineRule="auto" w:line="240" w:before="0" w:after="160"/>
              <w:ind w:left="113" w:right="113" w:hanging="0"/>
              <w:contextualSpacing/>
              <w:jc w:val="center"/>
              <w:rPr>
                <w:rFonts w:cs="Calibri" w:cstheme="minorHAnsi"/>
                <w:bCs/>
                <w:sz w:val="18"/>
                <w:szCs w:val="18"/>
              </w:rPr>
            </w:pPr>
            <w:r>
              <w:rPr>
                <w:rFonts w:cs="Calibri" w:cstheme="minorHAnsi"/>
                <w:bCs/>
                <w:kern w:val="0"/>
                <w:sz w:val="18"/>
                <w:szCs w:val="18"/>
                <w:lang w:val="pl-PL" w:eastAsia="en-US" w:bidi="ar-SA"/>
              </w:rPr>
              <w:t>Podniesienie poziomu rozwoju społeczno-gospodarczego oraz wsparcie procesu zielonej transformacji i gospodarki zeroemisyjnej</w:t>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 Sieć Włocławskiego Centrum Biznesu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extDirection w:val="btL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 Sieć Włocławskiego Centrum Biznesu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 Sieć Włocławskiego Centrum Biznesu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 Sieć Włocławskiego Centrum Biznesu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 Sieć Włocławskiego Centrum Biznesu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t xml:space="preserve">ZIT-WL-7 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w:t>
              <w:br/>
              <w:t>o charakterze podstawowym, specjalistycznym i zaawansowanym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ZIT-WL-64 Uzbrojenie terenów inwestycyjnych w MOF Włocławek - rozwój gospodarczy gminy Choceń</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rHeight w:val="197" w:hRule="atLeast"/>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ZIT-WL-65 Uzbrojenie terenów inwestycyjnych gminy Lubień Kujawski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rHeight w:val="430" w:hRule="atLeast"/>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kern w:val="0"/>
                <w:sz w:val="18"/>
                <w:szCs w:val="18"/>
                <w:lang w:val="pl-PL" w:eastAsia="en-US" w:bidi="ar-SA"/>
              </w:rPr>
              <w:t>Kształcenie zawodowe</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t>ZIT-WL-41 Budowa budynku dydaktyczno - warsztatowego dla Zespołu Szkół w Kowalu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rHeight w:val="430" w:hRule="atLeast"/>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t xml:space="preserve">ZIT-WL-61 Dostosowanie kształcenia zawodowego  do potrzeb rynku pracy  </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kern w:val="0"/>
                <w:sz w:val="18"/>
                <w:szCs w:val="18"/>
                <w:lang w:val="pl-PL" w:eastAsia="en-US" w:bidi="ar-SA"/>
              </w:rPr>
              <w:t>Wspieranie zrównoważonej mobilności miejskiej</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 Poprawa funkcjonowania transportu zbiorowego w mieście Włocławek poprzez modernizację infrastruktury towarzyszącej transportowi zbiorowemu.</w:t>
            </w:r>
          </w:p>
        </w:tc>
        <w:tc>
          <w:tcPr>
            <w:tcW w:w="1388" w:type="dxa"/>
            <w:vMerge w:val="restart"/>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color w:val="FFFFFF" w:themeColor="background1"/>
                <w:kern w:val="0"/>
                <w:sz w:val="18"/>
                <w:szCs w:val="18"/>
                <w:lang w:val="pl-PL" w:eastAsia="en-US" w:bidi="ar-SA"/>
              </w:rPr>
              <w:t>Zielona transformacja i gospodarka niskoemisyjna</w:t>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ZIT-WL-9 Budowa i przebudowa dróg rowerowych na terenie miasta Włocławek</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ZIT-WL-10 Tabor na potrzeby czystej komunikacji w mieście Włocławek</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kern w:val="0"/>
                <w:sz w:val="18"/>
                <w:szCs w:val="18"/>
                <w:lang w:val="pl-PL" w:eastAsia="en-US" w:bidi="ar-SA"/>
              </w:rPr>
              <w:t>Poprawa efektywności energetycznej oraz redukcja emisji gazów cieplarnianych na obszarze MOF</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ZIT-WL-11 Kompleksowa modernizacja energetyczna budynku Szkoły Podstawowej w miejscowości Więsławice</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ZIT-WL-12 Termomodernizacja budynku Zespołu Szkół im. Marii Grodzickiej w Lubrańcu Marysinie</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ZIT-WL-13 Termomodernizacja budynków użyteczności publicznej na terenie Gminy Izbica Kujawska</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ZIT-WL-14 Kompleksowa termomodernizacja budynków użyteczności publicznej na terenie gminy Lubraniec</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
                <w:bCs/>
                <w:sz w:val="18"/>
                <w:szCs w:val="18"/>
              </w:rPr>
            </w:pPr>
            <w:r>
              <w:rPr>
                <w:rFonts w:cs=""/>
                <w:kern w:val="0"/>
                <w:sz w:val="18"/>
                <w:szCs w:val="18"/>
                <w:lang w:val="pl-PL" w:eastAsia="en-US" w:bidi="ar-SA"/>
              </w:rPr>
              <w:t>ZIT-WL-15 Termomodernizacja budynków użyteczności publicznej na terenie miasta Włocławek</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ZIT-WL-16  Termomodernizacja obiektów użyteczności publicznej.</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ZIT-WL-17 Kompleksowa termomodernizacja komunalnych budynków mieszkalnych w Kowalu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ZIT-WL-18 Kompleksowa modernizacja energetyczna komunalnych budynków mieszkalnych na terenie Miasta i Gminy Chodecz</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ZIT-WL-19 Termomodernizacja komunalnego budynku mieszkalnego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ZIT-WL-20 Termomodernizacja komunalnych budynków mieszkalnych</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ZIT-WL-21 Termomodernizacja komunalnych budynków mieszkalnych</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ZIT-WL-22 Kompleksowa modernizacja  energetyczna komunalnych budynków mieszkalnych na terenie Gminy Boniewo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ZIT-WL-23 Budowa kotłowni miejskiej w Brześciu Kujawskim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ZIT-WL-24 Wymiana źródeł ciepła w jednostkach organizacyjnych powiatu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ZIT-WL-25 Modernizacja ciepłowni lokalnej</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ZIT-WL-26 Modernizacja lokalnego źródła ciepła z infrastrukturą towarzyszącą w Zespole Szkól Boniewo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ZIT-WL-27 Modernizacja lokalnych ciepłowni w obiektach użyteczności publicznej z wykorzystaniem OZE</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ZIT-WL-28 Wymiana oświetlenie ulicznego na terenie gminy Lubraniec</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ZIT-WL-29 Wymiana oświetlenia na energooszczędne na obszarze Miasta Włocławek</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kern w:val="0"/>
                <w:sz w:val="18"/>
                <w:szCs w:val="18"/>
                <w:lang w:val="pl-PL" w:eastAsia="en-US" w:bidi="ar-SA"/>
              </w:rPr>
              <w:t>Poprawa dostępu do dobrej jakości wody i zrównoważona gospodarka wodna oraz działania adaptacyjne mające na celu budowanie odporności i przystosowanie do zmian klimatu</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ZIT-WL-30 Zielone tereny Śródmieścia miasta Włocławek</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 xml:space="preserve">ZIT-WL-31 Modernizacja stacji uzdatniania wody w m. Narty, </w:t>
              <w:br/>
              <w:t>gm. Lubień Kujawski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ZIT-WL-32 Modernizacja systemu wodociągowego w zakresie wprowadzenia inteligentnych rozwiązań"</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ZIT-WL-33Budowa i przebudowa infrastruktury służącej zaopatrzeniu ludności w wodę pitną na terenie gminy Choceń</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ZIT-WL-34 "Modernizacja systemu wodociągowego w zakresie wprowadzenia inteligentnych rozwiązań"</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ZIT-WL-35 Wykonanie systemu zdalnego pomiaru i dystrybucji wody w sieci oraz radiowych pomiarów jej zużycia na danych obszarach gminy.</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ZIT-WL-36 Rozbudowa i modernizacja stacji uzdatniania wody</w:t>
              <w:br/>
              <w:t xml:space="preserve"> w Szpetalu Górnym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ZIT-WL-37 Modernizacja sieci wodociągowej na terenie gminy Lubraniec</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rHeight w:val="388" w:hRule="atLeast"/>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ZIT-WL-38 Modernizacja sieci wodociągowej na terenie Gminy Boniewo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kern w:val="0"/>
                <w:sz w:val="18"/>
                <w:szCs w:val="18"/>
                <w:lang w:val="pl-PL" w:eastAsia="en-US" w:bidi="ar-SA"/>
              </w:rPr>
              <w:t>Wychowanie przedszkolne</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t>ZIT-WL-39 Przebudowa oraz remont  Przedszkola Samorządowego w Izbicy Kujawskiej wraz z budową podjazdu dla osób niepełnosprawnych</w:t>
            </w:r>
          </w:p>
        </w:tc>
        <w:tc>
          <w:tcPr>
            <w:tcW w:w="1388" w:type="dxa"/>
            <w:vMerge w:val="restart"/>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Calibri" w:cstheme="minorHAnsi"/>
                <w:bCs/>
                <w:kern w:val="0"/>
                <w:sz w:val="18"/>
                <w:szCs w:val="18"/>
                <w:lang w:val="pl-PL" w:eastAsia="en-US" w:bidi="ar-SA"/>
              </w:rPr>
              <w:t>Wysoka jakość życia społeczeństwa</w:t>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rFonts w:cs="Calibri" w:cstheme="minorHAnsi"/>
                <w:bCs/>
                <w:color w:val="FFFFFF" w:themeColor="background1"/>
                <w:sz w:val="18"/>
                <w:szCs w:val="18"/>
              </w:rPr>
            </w:pPr>
            <w:r>
              <w:rPr>
                <w:rFonts w:cs="Calibri" w:cstheme="minorHAnsi"/>
                <w:b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ZIT-WL-40 Rozbudowa i modernizacja Przedszkola Publicznego nr 1 w Brześciu Kujawskim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ZIT-WL-42 Organizacja zajęć dla dzieci w wieku przedszkolnym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ZIT-WL-43 Organizacja zajęć i poprawa jakości opieki przedszkolnej w Gminie Brześć Kujawski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ZIT-WL-44 "Poprawa jakości opieki przedszkolnej na terenie Miasta i Gminy Chodecz."</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ZIT-WL-45 Zwiększenie liczby miejsc przedszkolnych w Przedszkolu Samorządowym w Izbicy Kujawskiej.</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ZIT-WL-46 Organizacja zajęć dla dzieci w wieku przedszkolnym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color w:val="FFFFFF" w:themeColor="background1"/>
                <w:sz w:val="18"/>
                <w:szCs w:val="18"/>
              </w:rPr>
            </w:pPr>
            <w:r>
              <w:rPr>
                <w:rFonts w:cs=""/>
                <w:color w:val="FFFFFF" w:themeColor="background1"/>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color w:val="FFFFFF" w:themeColor="background1"/>
                <w:sz w:val="18"/>
                <w:szCs w:val="18"/>
              </w:rPr>
            </w:pPr>
            <w:r>
              <w:rPr>
                <w:rFonts w:cs=""/>
                <w:color w:val="FFFFFF" w:themeColor="background1"/>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ZIT-WL-47 Upowszechnienie i zapewnienie wysokiej jakości edukacji przedszkolnej na terenie gminy Lubraniec</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ZIT-WL-48 Utworzenie nowych miejsc i bieżące ich funkcjonowanie  w placówkach przedszkolnych na terenie gminy Lubień Kujawski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Calibri" w:cstheme="minorHAnsi"/>
                <w:bCs/>
                <w:kern w:val="0"/>
                <w:sz w:val="18"/>
                <w:szCs w:val="18"/>
                <w:lang w:val="pl-PL" w:eastAsia="en-US" w:bidi="ar-SA"/>
              </w:rPr>
              <w:t>Kształcenie ogólne</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ZIT-WL-49 Podniesienie kompetencji kluczowych uczniów z terenu Gminy Kowal</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ZIT-WL-50 Podniesienie kompetencji kluczowych  uczniów</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ZIT-WL-51 Podniesienie jakości kształcenia ogólnego w gminie Lubień Kujawski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ZIT-WL-52 Organizacja dodatkowych zajęć dla dzieci w wieku szkolnym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ZIT-WL-53 Uczymy się z pasją!</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ZIT-WL-54 Poprawa oferty edukacyjnej w Szkole Podstawowej im. Tadeusza Kościuszki w Chodczu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ZIT-WL-55 Organizacja zajęć dla dzieci w wieku szkolnym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ZIT-WL-56 Kompetencje kluczowe dla uczniów z gminy Fabianki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ZIT-WL-57 Podniesienie kompetencji kluczowych uczniów szkół podstawowych z gminy Fabianki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ZIT-WL-58 Wyrównywanie szans edukacyjnych poprzez podniesienie jakości i efektywności kształcenia ogólnego w gminie Lubraniec</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ZIT-WL-59 Dostosowanie kształcenia ogólnego do potrzeb rynku pracy</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 xml:space="preserve">ZIT-WL-60 Poprawa jakości edukacji w Szkole Podstawowej </w:t>
              <w:br/>
              <w:t>w Lubaniu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Calibri" w:cstheme="minorHAnsi"/>
                <w:bCs/>
                <w:kern w:val="0"/>
                <w:sz w:val="18"/>
                <w:szCs w:val="18"/>
                <w:lang w:val="pl-PL" w:eastAsia="en-US" w:bidi="ar-SA"/>
              </w:rPr>
              <w:t>Opieka zdrowotna</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ZIT-WL-62 Remont pomieszczeń rehabilitacji w Izbicy Kujawskiej</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ZIT-WL-63 Zakup aparatu rezonansu magnetycznego wraz</w:t>
              <w:br/>
              <w:t xml:space="preserve"> z dostosowaniem pomieszczeń przy Powiatowym Centrum Zdrowia</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Calibri" w:cstheme="minorHAnsi"/>
                <w:bCs/>
                <w:kern w:val="0"/>
                <w:sz w:val="18"/>
                <w:szCs w:val="18"/>
                <w:lang w:val="pl-PL" w:eastAsia="en-US" w:bidi="ar-SA"/>
              </w:rPr>
              <w:t>Wsparcie instytucji kultury</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ZIT-WL-66 Rozwój kultury na terenie Miasta i Gminy Chodecz</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ZIT-WL-67 Budowa i rozbudowa instytucji kultury na terenie gminy Lubraniec</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ZIT-WL-68 Przebudowa, remont oraz zakup wyposażenia na potrzeby prowadzenia edukacji kulturalnej w Miejsko-Gminnym Centrum Kultury w Izbicy Kujawskiej</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ZIT-WL-69 Centrum Życia Społecznego - adaptacja Biblioteki Publicznej w miejscowości Grabkowo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ZIT-WL-70 Upowszechnianie działalności kulturowej na terenie Gminy Baruchowo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 xml:space="preserve">ZIT-WL-71 Wsparcie działalności Gminnego Ośrodka Kultury </w:t>
              <w:br/>
              <w:t>w Lubaniu</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rHeight w:val="319" w:hRule="atLeast"/>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ZIT-WL-72 Doposażenie instytucji kultury.</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Calibri" w:cstheme="minorHAnsi"/>
                <w:bCs/>
                <w:kern w:val="0"/>
                <w:sz w:val="18"/>
                <w:szCs w:val="18"/>
                <w:lang w:val="pl-PL" w:eastAsia="en-US" w:bidi="ar-SA"/>
              </w:rPr>
              <w:t>Rozwój turystyki</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t>ZIT-WL-73 Rozwój turystyki na terenie Miasta i Gminy Chodecz</w:t>
            </w:r>
          </w:p>
        </w:tc>
        <w:tc>
          <w:tcPr>
            <w:tcW w:w="1388" w:type="dxa"/>
            <w:vMerge w:val="restart"/>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Calibri" w:cstheme="minorHAnsi"/>
                <w:bCs/>
                <w:color w:val="FFFFFF" w:themeColor="background1"/>
                <w:kern w:val="0"/>
                <w:sz w:val="18"/>
                <w:szCs w:val="18"/>
                <w:lang w:val="pl-PL" w:eastAsia="en-US" w:bidi="ar-SA"/>
              </w:rPr>
              <w:t>Atrakcyjna i dostępna przestrzeń</w:t>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rFonts w:cs="Calibri" w:cstheme="minorHAnsi"/>
                <w:bCs/>
                <w:sz w:val="18"/>
                <w:szCs w:val="18"/>
              </w:rPr>
            </w:pPr>
            <w:r>
              <w:rPr>
                <w:rFonts w:cs="Calibri" w:cstheme="minorHAnsi"/>
                <w:b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ZIT-WL-74 Rozbudowa infrastruktury turystycznej na terenie gminy Baruchowo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 xml:space="preserve">ZIT-WL-75 Rozwój infrastruktury turystycznej, rekreacyjnej wraz </w:t>
              <w:br/>
              <w:t>z zakupem wyposażenia i sprzętu na terenie Gminy Izbica Kujawska</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 xml:space="preserve">ZIT-WL-76 Rozwój infrastruktury i promocja oferty turystycznej </w:t>
              <w:br/>
              <w:t>w Gminie Lubraniec</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extDirection w:val="btL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Calibri" w:cstheme="minorHAnsi"/>
                <w:bCs/>
                <w:kern w:val="0"/>
                <w:sz w:val="18"/>
                <w:szCs w:val="18"/>
                <w:lang w:val="pl-PL" w:eastAsia="en-US" w:bidi="ar-SA"/>
              </w:rPr>
              <w:t>Odnowa przestrzeni publicznych i rewitalizacja</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ZIT-WL-77 3 Maja woonerfem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ZIT-WL-78 Odnowa przestrzeni publicznej poprzez modernizację obiektów użyteczności publicznej na potrzeby społeczności lokalnej</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ZIT-WL-79 Odnowa przestrzeni publicznych na terenie gminy Choceń</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ZIT-WL-80 Odnowa przestrzeni publicznej w miejscowości Więsławice</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ZIT-WL-81 Odnowa przestrzeni publicznej na obszarze miasta Brześć Kujawski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ZIT-WL-82 Odnowa przestrzeni publicznych na terenie Miasta</w:t>
              <w:br/>
              <w:t xml:space="preserve"> i Gminy Chodecz</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ZIT-WL-83 Odnowa przestrzeni publicznych na terenie Gminy Izbica Kujawska</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ZIT-WL-84 Odnowa przestrzeni publicznej w Lubieniu Kujawskim</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ZIT-WL-85 Odnowa przestrzeni publicznej na terenie Parku Kulturowego w Sarnowie</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ZIT-WL-86 Odnowa przestrzeni publicznej na terenie Gminy Włocławek.</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ZIT-WL-87 Rewitalizacja - odnowa przestrzeni publicznej na terenie Gminy Boniewo</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ZIT-WL-88 Odnowa przestrzeni publicznej w gminie Fabianki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rHeight w:val="282" w:hRule="atLeast"/>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ZIT-WL-89 Zagospodarowanie terenów przestrzeni publicznej</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r>
        <w:trPr/>
        <w:tc>
          <w:tcPr>
            <w:tcW w:w="1576" w:type="dxa"/>
            <w:vMerge w:val="restart"/>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vAlign w:val="center"/>
          </w:tcPr>
          <w:p>
            <w:pPr>
              <w:pStyle w:val="Normal"/>
              <w:widowControl/>
              <w:spacing w:lineRule="auto" w:line="240" w:before="0" w:after="160"/>
              <w:contextualSpacing/>
              <w:jc w:val="center"/>
              <w:rPr>
                <w:sz w:val="18"/>
                <w:szCs w:val="18"/>
              </w:rPr>
            </w:pPr>
            <w:r>
              <w:rPr>
                <w:rFonts w:cs="Calibri" w:cstheme="minorHAnsi"/>
                <w:bCs/>
                <w:kern w:val="0"/>
                <w:sz w:val="18"/>
                <w:szCs w:val="18"/>
                <w:lang w:val="pl-PL" w:eastAsia="en-US" w:bidi="ar-SA"/>
              </w:rPr>
              <w:t>Wsparcie administracyjne</w:t>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sz w:val="18"/>
                <w:szCs w:val="18"/>
              </w:rPr>
            </w:pPr>
            <w:r>
              <w:rPr>
                <w:rFonts w:cs=""/>
                <w:kern w:val="0"/>
                <w:sz w:val="18"/>
                <w:szCs w:val="18"/>
                <w:lang w:val="pl-PL" w:eastAsia="en-US" w:bidi="ar-SA"/>
              </w:rPr>
              <w:t>ZIT-WL-90 Wsparcie potencjału administracyjnego Biura Stowarzyszenia WŁOF – Zintegrowane Inwestycje terytorialne Miejskiego Obszaru Funkcjonalnego Włocławka - etap I</w:t>
            </w:r>
          </w:p>
        </w:tc>
        <w:tc>
          <w:tcPr>
            <w:tcW w:w="1388" w:type="dxa"/>
            <w:vMerge w:val="restart"/>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Calibri" w:cstheme="minorHAnsi"/>
                <w:bCs/>
                <w:color w:val="FFFFFF" w:themeColor="background1"/>
                <w:kern w:val="0"/>
                <w:sz w:val="18"/>
                <w:szCs w:val="18"/>
                <w:lang w:val="pl-PL" w:eastAsia="en-US" w:bidi="ar-SA"/>
              </w:rPr>
              <w:t>Wsparcie administracyjne</w:t>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rFonts w:cs="Calibri" w:cstheme="minorHAnsi"/>
                <w:bCs/>
                <w:sz w:val="18"/>
                <w:szCs w:val="18"/>
              </w:rPr>
            </w:pPr>
            <w:r>
              <w:rPr>
                <w:rFonts w:cs="Calibri" w:cstheme="minorHAnsi"/>
                <w:bCs/>
                <w:kern w:val="0"/>
                <w:sz w:val="18"/>
                <w:szCs w:val="18"/>
                <w:lang w:val="pl-PL" w:eastAsia="en-US" w:bidi="ar-SA"/>
              </w:rPr>
            </w:r>
          </w:p>
        </w:tc>
      </w:tr>
      <w:tr>
        <w:trPr/>
        <w:tc>
          <w:tcPr>
            <w:tcW w:w="1576" w:type="dxa"/>
            <w:vMerge w:val="continue"/>
            <w:tcBorders>
              <w:top w:val="single" w:sz="12" w:space="0" w:color="AAAAAA"/>
              <w:left w:val="single" w:sz="12" w:space="0" w:color="AAAAAA"/>
              <w:bottom w:val="single" w:sz="12" w:space="0" w:color="AAAAAA"/>
              <w:right w:val="single" w:sz="12" w:space="0" w:color="AAAAAA"/>
            </w:tcBorders>
            <w:shd w:color="auto" w:fill="F2F2F2" w:themeFill="background1" w:themeFillShade="f2"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5197" w:type="dxa"/>
            <w:tcBorders>
              <w:top w:val="single" w:sz="12" w:space="0" w:color="AAAAAA"/>
              <w:left w:val="single" w:sz="12" w:space="0" w:color="AAAAAA"/>
              <w:bottom w:val="single" w:sz="12" w:space="0" w:color="AAAAAA"/>
              <w:right w:val="single" w:sz="12" w:space="0" w:color="AAAAAA"/>
            </w:tcBorders>
            <w:shd w:color="auto" w:fill="76B4F3" w:val="clear"/>
          </w:tcPr>
          <w:p>
            <w:pPr>
              <w:pStyle w:val="Normal"/>
              <w:widowControl/>
              <w:spacing w:lineRule="auto" w:line="240" w:before="0" w:after="160"/>
              <w:contextualSpacing/>
              <w:jc w:val="left"/>
              <w:rPr>
                <w:rFonts w:cs="Calibri" w:cstheme="minorHAnsi"/>
                <w:bCs/>
                <w:sz w:val="18"/>
                <w:szCs w:val="18"/>
              </w:rPr>
            </w:pPr>
            <w:r>
              <w:rPr>
                <w:rFonts w:cs=""/>
                <w:kern w:val="0"/>
                <w:sz w:val="18"/>
                <w:szCs w:val="18"/>
                <w:lang w:val="pl-PL" w:eastAsia="en-US" w:bidi="ar-SA"/>
              </w:rPr>
              <w:t>ZIT-WL-91 Wsparcie potencjału administracyjnego Biura Stowarzyszenia WŁOF – Zintegrowane Inwestycje terytorialne Miejskiego Obszaru Funkcjonalnego Włocławka - etap II</w:t>
            </w:r>
          </w:p>
        </w:tc>
        <w:tc>
          <w:tcPr>
            <w:tcW w:w="1388" w:type="dxa"/>
            <w:vMerge w:val="continue"/>
            <w:tcBorders>
              <w:top w:val="single" w:sz="12" w:space="0" w:color="AAAAAA"/>
              <w:left w:val="single" w:sz="12" w:space="0" w:color="AAAAAA"/>
              <w:bottom w:val="single" w:sz="12" w:space="0" w:color="AAAAAA"/>
              <w:right w:val="single" w:sz="12" w:space="0" w:color="AAAAAA"/>
            </w:tcBorders>
            <w:shd w:color="auto" w:fill="2277CC" w:val="clear"/>
            <w:vAlign w:val="cente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c>
          <w:tcPr>
            <w:tcW w:w="908" w:type="dxa"/>
            <w:vMerge w:val="continue"/>
            <w:tcBorders>
              <w:top w:val="single" w:sz="12" w:space="0" w:color="AAAAAA"/>
              <w:left w:val="single" w:sz="12" w:space="0" w:color="AAAAAA"/>
              <w:bottom w:val="single" w:sz="12" w:space="0" w:color="AAAAAA"/>
              <w:right w:val="single" w:sz="12" w:space="0" w:color="AAAAAA"/>
            </w:tcBorders>
            <w:shd w:color="auto" w:fill="143F7E" w:val="clear"/>
          </w:tcPr>
          <w:p>
            <w:pPr>
              <w:pStyle w:val="Normal"/>
              <w:widowControl/>
              <w:spacing w:lineRule="auto" w:line="240" w:before="0" w:after="160"/>
              <w:contextualSpacing/>
              <w:jc w:val="center"/>
              <w:rPr>
                <w:sz w:val="18"/>
                <w:szCs w:val="18"/>
              </w:rPr>
            </w:pPr>
            <w:r>
              <w:rPr>
                <w:rFonts w:cs=""/>
                <w:kern w:val="0"/>
                <w:sz w:val="18"/>
                <w:szCs w:val="18"/>
                <w:lang w:val="pl-PL" w:eastAsia="en-US" w:bidi="ar-SA"/>
              </w:rPr>
            </w:r>
          </w:p>
        </w:tc>
      </w:tr>
    </w:tbl>
    <w:p>
      <w:pPr>
        <w:pStyle w:val="2poziom"/>
        <w:numPr>
          <w:ilvl w:val="0"/>
          <w:numId w:val="0"/>
        </w:numPr>
        <w:ind w:left="0" w:hanging="0"/>
        <w:jc w:val="center"/>
        <w:rPr>
          <w:color w:val="auto"/>
        </w:rPr>
      </w:pPr>
      <w:r>
        <w:rPr>
          <w:color w:val="auto"/>
        </w:rPr>
      </w:r>
    </w:p>
    <w:p>
      <w:pPr>
        <w:pStyle w:val="2poziom"/>
        <w:numPr>
          <w:ilvl w:val="1"/>
          <w:numId w:val="56"/>
        </w:numPr>
        <w:tabs>
          <w:tab w:val="clear" w:pos="680"/>
          <w:tab w:val="left" w:pos="0" w:leader="none"/>
        </w:tabs>
        <w:ind w:left="0" w:hanging="0"/>
        <w:rPr/>
      </w:pPr>
      <w:bookmarkStart w:id="211" w:name="_Hlk134172219"/>
      <w:bookmarkStart w:id="212" w:name="_Toc143161933"/>
      <w:r>
        <w:rPr/>
        <w:t>Lista pro</w:t>
      </w:r>
      <w:r>
        <w:rPr>
          <w:color w:val="1F497D" w:themeColor="text2"/>
        </w:rPr>
        <w:t>jektó</w:t>
      </w:r>
      <w:r>
        <w:rPr/>
        <w:t>w rezerwowych</w:t>
      </w:r>
      <w:bookmarkEnd w:id="211"/>
      <w:bookmarkEnd w:id="212"/>
    </w:p>
    <w:p>
      <w:pPr>
        <w:pStyle w:val="Normal"/>
        <w:spacing w:lineRule="auto" w:line="276" w:before="0" w:after="0"/>
        <w:jc w:val="both"/>
        <w:rPr>
          <w:rFonts w:ascii="Calibri" w:hAnsi="Calibri" w:cs="Calibri"/>
          <w:sz w:val="21"/>
          <w:szCs w:val="21"/>
        </w:rPr>
      </w:pPr>
      <w:r>
        <w:rPr>
          <w:rFonts w:cs="Calibri"/>
          <w:sz w:val="21"/>
          <w:szCs w:val="21"/>
        </w:rPr>
        <w:t>Na potrzeby sprawnego wdrażania Strategii Terytorialnej Miejskiego Obszaru Funkcjonalnego Włocławka opracowano listę projektów rezerwowych. Projekt z listy rezerwowej może uzyskać dofinansowanie</w:t>
        <w:br/>
        <w:t xml:space="preserve"> w przypadku uwolnienia wolnych środków w ramach powierzonej alokacji (wykreślenia projektu z lisy podstawowej) lub zwiększenia alokacji dla ZIT Włocławek</w:t>
      </w:r>
      <w:bookmarkStart w:id="213" w:name="_Hlk136353461"/>
      <w:r>
        <w:rPr>
          <w:rFonts w:cs="Calibri"/>
          <w:sz w:val="21"/>
          <w:szCs w:val="21"/>
        </w:rPr>
        <w:t>.</w:t>
      </w:r>
    </w:p>
    <w:p>
      <w:pPr>
        <w:sectPr>
          <w:headerReference w:type="default" r:id="rId39"/>
          <w:headerReference w:type="first" r:id="rId40"/>
          <w:footerReference w:type="default" r:id="rId41"/>
          <w:footerReference w:type="first" r:id="rId42"/>
          <w:footnotePr>
            <w:numFmt w:val="decimal"/>
          </w:footnotePr>
          <w:type w:val="nextPage"/>
          <w:pgSz w:w="11906" w:h="16838"/>
          <w:pgMar w:left="1418" w:right="1418" w:gutter="0" w:header="283" w:top="1560" w:footer="227" w:bottom="1134"/>
          <w:pgNumType w:fmt="decimal"/>
          <w:formProt w:val="false"/>
          <w:textDirection w:val="lrTb"/>
          <w:docGrid w:type="default" w:linePitch="360" w:charSpace="4096"/>
        </w:sectPr>
      </w:pPr>
    </w:p>
    <w:p>
      <w:pPr>
        <w:pStyle w:val="Normal"/>
        <w:tabs>
          <w:tab w:val="clear" w:pos="680"/>
          <w:tab w:val="left" w:pos="1365" w:leader="none"/>
        </w:tabs>
        <w:rPr>
          <w:b/>
          <w:bCs/>
          <w:sz w:val="20"/>
          <w:szCs w:val="20"/>
        </w:rPr>
      </w:pPr>
      <w:r>
        <w:rPr>
          <w:b/>
          <w:bCs/>
          <w:sz w:val="20"/>
          <w:szCs w:val="20"/>
        </w:rPr>
      </w:r>
      <w:bookmarkEnd w:id="213"/>
    </w:p>
    <w:p>
      <w:pPr>
        <w:sectPr>
          <w:footnotePr>
            <w:numFmt w:val="decimal"/>
          </w:footnotePr>
          <w:type w:val="continuous"/>
          <w:pgSz w:w="11906" w:h="16838"/>
          <w:pgMar w:left="1418" w:right="1418" w:gutter="0" w:header="283" w:top="1560" w:footer="227" w:bottom="1134"/>
          <w:formProt w:val="false"/>
          <w:textDirection w:val="lrTb"/>
          <w:docGrid w:type="default" w:linePitch="360" w:charSpace="4096"/>
        </w:sectPr>
      </w:pPr>
    </w:p>
    <w:p>
      <w:pPr>
        <w:pStyle w:val="Normal"/>
        <w:rPr>
          <w:b/>
          <w:bCs/>
          <w:sz w:val="20"/>
          <w:szCs w:val="20"/>
        </w:rPr>
      </w:pPr>
      <w:r>
        <w:rPr>
          <w:b/>
          <w:bCs/>
          <w:sz w:val="20"/>
          <w:szCs w:val="20"/>
        </w:rPr>
      </w:r>
    </w:p>
    <w:p>
      <w:pPr>
        <w:pStyle w:val="Normal"/>
        <w:rPr>
          <w:b/>
          <w:bCs/>
          <w:sz w:val="20"/>
          <w:szCs w:val="20"/>
        </w:rPr>
      </w:pPr>
      <w:r>
        <w:rPr>
          <w:b/>
          <w:bCs/>
          <w:sz w:val="20"/>
          <w:szCs w:val="20"/>
        </w:rPr>
        <w:t xml:space="preserve">Tabela 28. Lista projektów rezerwowych </w:t>
      </w:r>
    </w:p>
    <w:tbl>
      <w:tblPr>
        <w:tblStyle w:val="Tabela-Siatka"/>
        <w:tblW w:w="22681" w:type="dxa"/>
        <w:jc w:val="left"/>
        <w:tblInd w:w="-714" w:type="dxa"/>
        <w:tblLayout w:type="fixed"/>
        <w:tblCellMar>
          <w:top w:w="0" w:type="dxa"/>
          <w:left w:w="108" w:type="dxa"/>
          <w:bottom w:w="0" w:type="dxa"/>
          <w:right w:w="108" w:type="dxa"/>
        </w:tblCellMar>
        <w:tblLook w:firstRow="1" w:noVBand="1" w:lastRow="0" w:firstColumn="1" w:lastColumn="0" w:noHBand="0" w:val="04a0"/>
      </w:tblPr>
      <w:tblGrid>
        <w:gridCol w:w="986"/>
        <w:gridCol w:w="567"/>
        <w:gridCol w:w="715"/>
        <w:gridCol w:w="1417"/>
        <w:gridCol w:w="1985"/>
        <w:gridCol w:w="1274"/>
        <w:gridCol w:w="1701"/>
        <w:gridCol w:w="994"/>
        <w:gridCol w:w="993"/>
        <w:gridCol w:w="1134"/>
        <w:gridCol w:w="1559"/>
        <w:gridCol w:w="710"/>
        <w:gridCol w:w="1701"/>
        <w:gridCol w:w="1558"/>
        <w:gridCol w:w="1558"/>
        <w:gridCol w:w="3823"/>
      </w:tblGrid>
      <w:tr>
        <w:trPr>
          <w:trHeight w:val="1631" w:hRule="atLeast"/>
        </w:trPr>
        <w:tc>
          <w:tcPr>
            <w:tcW w:w="986"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Lp.</w:t>
            </w:r>
          </w:p>
          <w:p>
            <w:pPr>
              <w:pStyle w:val="Normal"/>
              <w:widowControl/>
              <w:spacing w:before="0" w:after="0"/>
              <w:ind w:left="-546" w:firstLine="546"/>
              <w:jc w:val="center"/>
              <w:rPr>
                <w:b/>
                <w:bCs/>
                <w:sz w:val="18"/>
                <w:szCs w:val="18"/>
              </w:rPr>
            </w:pPr>
            <w:r>
              <w:rPr>
                <w:rFonts w:cs=""/>
                <w:b/>
                <w:bCs/>
                <w:kern w:val="0"/>
                <w:sz w:val="18"/>
                <w:szCs w:val="18"/>
                <w:lang w:val="pl-PL" w:eastAsia="en-US" w:bidi="ar-SA"/>
              </w:rPr>
            </w:r>
          </w:p>
        </w:tc>
        <w:tc>
          <w:tcPr>
            <w:tcW w:w="567"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Cel polityki</w:t>
            </w:r>
          </w:p>
        </w:tc>
        <w:tc>
          <w:tcPr>
            <w:tcW w:w="715"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Cel szczegółowy</w:t>
            </w:r>
          </w:p>
        </w:tc>
        <w:tc>
          <w:tcPr>
            <w:tcW w:w="1417"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Typ wsparcia</w:t>
            </w:r>
          </w:p>
        </w:tc>
        <w:tc>
          <w:tcPr>
            <w:tcW w:w="1985"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Wiązka projektów*</w:t>
            </w:r>
          </w:p>
        </w:tc>
        <w:tc>
          <w:tcPr>
            <w:tcW w:w="1274"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Beneficjent</w:t>
            </w:r>
          </w:p>
        </w:tc>
        <w:tc>
          <w:tcPr>
            <w:tcW w:w="1701"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Nazwa projektu</w:t>
            </w:r>
          </w:p>
        </w:tc>
        <w:tc>
          <w:tcPr>
            <w:tcW w:w="994"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Zasięg terytorialny realizacji projektu</w:t>
            </w:r>
          </w:p>
        </w:tc>
        <w:tc>
          <w:tcPr>
            <w:tcW w:w="993"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t>Czy projekt znajduje</w:t>
            </w:r>
          </w:p>
          <w:p>
            <w:pPr>
              <w:pStyle w:val="Normal"/>
              <w:widowControl/>
              <w:spacing w:before="0" w:after="0"/>
              <w:jc w:val="center"/>
              <w:rPr>
                <w:b/>
                <w:bCs/>
                <w:sz w:val="18"/>
                <w:szCs w:val="18"/>
              </w:rPr>
            </w:pPr>
            <w:r>
              <w:rPr>
                <w:rFonts w:cs=""/>
                <w:b/>
                <w:bCs/>
                <w:kern w:val="0"/>
                <w:sz w:val="18"/>
                <w:szCs w:val="18"/>
                <w:lang w:val="pl-PL" w:eastAsia="en-US" w:bidi="ar-SA"/>
              </w:rPr>
              <w:t>się na</w:t>
            </w:r>
          </w:p>
          <w:p>
            <w:pPr>
              <w:pStyle w:val="Normal"/>
              <w:widowControl/>
              <w:spacing w:before="0" w:after="0"/>
              <w:jc w:val="center"/>
              <w:rPr>
                <w:b/>
                <w:bCs/>
                <w:sz w:val="18"/>
                <w:szCs w:val="18"/>
              </w:rPr>
            </w:pPr>
            <w:r>
              <w:rPr>
                <w:rFonts w:cs=""/>
                <w:b/>
                <w:bCs/>
                <w:kern w:val="0"/>
                <w:sz w:val="18"/>
                <w:szCs w:val="18"/>
                <w:lang w:val="pl-PL" w:eastAsia="en-US" w:bidi="ar-SA"/>
              </w:rPr>
              <w:t>obszarze proble</w:t>
            </w:r>
          </w:p>
          <w:p>
            <w:pPr>
              <w:pStyle w:val="Normal"/>
              <w:widowControl/>
              <w:spacing w:before="0" w:after="0"/>
              <w:jc w:val="center"/>
              <w:rPr>
                <w:b/>
                <w:bCs/>
                <w:sz w:val="18"/>
                <w:szCs w:val="18"/>
              </w:rPr>
            </w:pPr>
            <w:r>
              <w:rPr>
                <w:rFonts w:cs=""/>
                <w:b/>
                <w:bCs/>
                <w:kern w:val="0"/>
                <w:sz w:val="18"/>
                <w:szCs w:val="18"/>
                <w:lang w:val="pl-PL" w:eastAsia="en-US" w:bidi="ar-SA"/>
              </w:rPr>
              <w:t>mowym? (TAK/NIE)</w:t>
            </w:r>
          </w:p>
        </w:tc>
        <w:tc>
          <w:tcPr>
            <w:tcW w:w="1134"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Okres realizacji projektu</w:t>
            </w:r>
          </w:p>
        </w:tc>
        <w:tc>
          <w:tcPr>
            <w:tcW w:w="1559"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Całkowita wartość projektu</w:t>
            </w:r>
          </w:p>
        </w:tc>
        <w:tc>
          <w:tcPr>
            <w:tcW w:w="710"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Źródło</w:t>
            </w:r>
          </w:p>
          <w:p>
            <w:pPr>
              <w:pStyle w:val="Normal"/>
              <w:widowControl/>
              <w:spacing w:before="0" w:after="0"/>
              <w:jc w:val="center"/>
              <w:rPr>
                <w:b/>
                <w:bCs/>
                <w:sz w:val="18"/>
                <w:szCs w:val="18"/>
              </w:rPr>
            </w:pPr>
            <w:r>
              <w:rPr>
                <w:rFonts w:cs=""/>
                <w:b/>
                <w:bCs/>
                <w:kern w:val="0"/>
                <w:sz w:val="18"/>
                <w:szCs w:val="18"/>
                <w:lang w:val="pl-PL" w:eastAsia="en-US" w:bidi="ar-SA"/>
              </w:rPr>
              <w:t>dofinansowania</w:t>
            </w:r>
          </w:p>
          <w:p>
            <w:pPr>
              <w:pStyle w:val="Normal"/>
              <w:widowControl/>
              <w:spacing w:before="0" w:after="0"/>
              <w:jc w:val="center"/>
              <w:rPr>
                <w:b/>
                <w:bCs/>
                <w:sz w:val="18"/>
                <w:szCs w:val="18"/>
              </w:rPr>
            </w:pPr>
            <w:r>
              <w:rPr>
                <w:rFonts w:cs=""/>
                <w:b/>
                <w:bCs/>
                <w:kern w:val="0"/>
                <w:sz w:val="18"/>
                <w:szCs w:val="18"/>
                <w:lang w:val="pl-PL" w:eastAsia="en-US" w:bidi="ar-SA"/>
              </w:rPr>
              <w:t>EFRR/</w:t>
            </w:r>
          </w:p>
          <w:p>
            <w:pPr>
              <w:pStyle w:val="Normal"/>
              <w:widowControl/>
              <w:spacing w:before="0" w:after="0"/>
              <w:jc w:val="center"/>
              <w:rPr>
                <w:b/>
                <w:bCs/>
                <w:sz w:val="18"/>
                <w:szCs w:val="18"/>
              </w:rPr>
            </w:pPr>
            <w:r>
              <w:rPr>
                <w:rFonts w:cs=""/>
                <w:b/>
                <w:bCs/>
                <w:kern w:val="0"/>
                <w:sz w:val="18"/>
                <w:szCs w:val="18"/>
                <w:lang w:val="pl-PL" w:eastAsia="en-US" w:bidi="ar-SA"/>
              </w:rPr>
              <w:t>EFS+</w:t>
            </w:r>
          </w:p>
        </w:tc>
        <w:tc>
          <w:tcPr>
            <w:tcW w:w="1701"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Koszty kwalifikowalne (euro)</w:t>
            </w:r>
          </w:p>
        </w:tc>
        <w:tc>
          <w:tcPr>
            <w:tcW w:w="1558"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Dofinansowanie</w:t>
            </w:r>
          </w:p>
          <w:p>
            <w:pPr>
              <w:pStyle w:val="Normal"/>
              <w:widowControl/>
              <w:spacing w:before="0" w:after="0"/>
              <w:jc w:val="center"/>
              <w:rPr>
                <w:b/>
                <w:bCs/>
                <w:sz w:val="18"/>
                <w:szCs w:val="18"/>
              </w:rPr>
            </w:pPr>
            <w:r>
              <w:rPr>
                <w:rFonts w:cs=""/>
                <w:b/>
                <w:bCs/>
                <w:kern w:val="0"/>
                <w:sz w:val="18"/>
                <w:szCs w:val="18"/>
                <w:lang w:val="pl-PL" w:eastAsia="en-US" w:bidi="ar-SA"/>
              </w:rPr>
              <w:t>UE (euro)</w:t>
            </w:r>
          </w:p>
        </w:tc>
        <w:tc>
          <w:tcPr>
            <w:tcW w:w="1558"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Wkład</w:t>
            </w:r>
          </w:p>
          <w:p>
            <w:pPr>
              <w:pStyle w:val="Normal"/>
              <w:widowControl/>
              <w:spacing w:before="0" w:after="0"/>
              <w:jc w:val="center"/>
              <w:rPr>
                <w:b/>
                <w:bCs/>
                <w:sz w:val="18"/>
                <w:szCs w:val="18"/>
              </w:rPr>
            </w:pPr>
            <w:r>
              <w:rPr>
                <w:rFonts w:cs=""/>
                <w:b/>
                <w:bCs/>
                <w:kern w:val="0"/>
                <w:sz w:val="18"/>
                <w:szCs w:val="18"/>
                <w:lang w:val="pl-PL" w:eastAsia="en-US" w:bidi="ar-SA"/>
              </w:rPr>
              <w:t>Własny</w:t>
            </w:r>
          </w:p>
          <w:p>
            <w:pPr>
              <w:pStyle w:val="Normal"/>
              <w:widowControl/>
              <w:spacing w:before="0" w:after="0"/>
              <w:jc w:val="center"/>
              <w:rPr>
                <w:b/>
                <w:bCs/>
                <w:sz w:val="18"/>
                <w:szCs w:val="18"/>
              </w:rPr>
            </w:pPr>
            <w:r>
              <w:rPr>
                <w:rFonts w:cs=""/>
                <w:b/>
                <w:bCs/>
                <w:kern w:val="0"/>
                <w:sz w:val="18"/>
                <w:szCs w:val="18"/>
                <w:lang w:val="pl-PL" w:eastAsia="en-US" w:bidi="ar-SA"/>
              </w:rPr>
              <w:t>(euro)</w:t>
            </w:r>
          </w:p>
        </w:tc>
        <w:tc>
          <w:tcPr>
            <w:tcW w:w="3823" w:type="dxa"/>
            <w:tcBorders/>
            <w:shd w:color="auto" w:fill="75B4F3" w:val="clear"/>
          </w:tcPr>
          <w:p>
            <w:pPr>
              <w:pStyle w:val="Normal"/>
              <w:widowControl/>
              <w:spacing w:before="0" w:after="0"/>
              <w:jc w:val="center"/>
              <w:rPr>
                <w:b/>
                <w:bCs/>
                <w:sz w:val="18"/>
                <w:szCs w:val="18"/>
              </w:rPr>
            </w:pPr>
            <w:r>
              <w:rPr>
                <w:rFonts w:cs=""/>
                <w:b/>
                <w:bCs/>
                <w:kern w:val="0"/>
                <w:sz w:val="18"/>
                <w:szCs w:val="18"/>
                <w:lang w:val="pl-PL" w:eastAsia="en-US" w:bidi="ar-SA"/>
              </w:rPr>
            </w:r>
          </w:p>
          <w:p>
            <w:pPr>
              <w:pStyle w:val="Normal"/>
              <w:widowControl/>
              <w:spacing w:before="0" w:after="0"/>
              <w:jc w:val="center"/>
              <w:rPr>
                <w:b/>
                <w:bCs/>
                <w:sz w:val="18"/>
                <w:szCs w:val="18"/>
              </w:rPr>
            </w:pPr>
            <w:r>
              <w:rPr>
                <w:rFonts w:cs=""/>
                <w:b/>
                <w:bCs/>
                <w:kern w:val="0"/>
                <w:sz w:val="18"/>
                <w:szCs w:val="18"/>
                <w:lang w:val="pl-PL" w:eastAsia="en-US" w:bidi="ar-SA"/>
              </w:rPr>
              <w:t>Wskaźniki projektu</w:t>
            </w:r>
          </w:p>
        </w:tc>
      </w:tr>
      <w:tr>
        <w:trPr>
          <w:trHeight w:val="1204" w:hRule="atLeast"/>
        </w:trPr>
        <w:tc>
          <w:tcPr>
            <w:tcW w:w="986"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ZIT-WL-R1</w:t>
            </w:r>
          </w:p>
        </w:tc>
        <w:tc>
          <w:tcPr>
            <w:tcW w:w="567"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CP2</w:t>
            </w:r>
          </w:p>
        </w:tc>
        <w:tc>
          <w:tcPr>
            <w:tcW w:w="715"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2(viii)</w:t>
            </w:r>
          </w:p>
        </w:tc>
        <w:tc>
          <w:tcPr>
            <w:tcW w:w="1417" w:type="dxa"/>
            <w:tcBorders/>
          </w:tcPr>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Projekty z zakresu rozwoju i usprawnienia systemu transportu miejskiego, w tym węzły zintegrowane i infrastruktura przystankowa</w:t>
            </w:r>
          </w:p>
        </w:tc>
        <w:tc>
          <w:tcPr>
            <w:tcW w:w="1985" w:type="dxa"/>
            <w:tcBorders/>
          </w:tcPr>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both"/>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76" w:before="0" w:after="0"/>
              <w:jc w:val="left"/>
              <w:rPr>
                <w:rFonts w:cs="Calibri" w:cstheme="minorHAnsi"/>
                <w:color w:val="FF0000"/>
              </w:rPr>
            </w:pPr>
            <w:r>
              <w:rPr>
                <w:rFonts w:cs="Calibri" w:cstheme="minorHAnsi"/>
                <w:color w:val="FF0000"/>
                <w:kern w:val="0"/>
                <w:sz w:val="22"/>
                <w:szCs w:val="22"/>
                <w:lang w:val="pl-PL" w:eastAsia="en-US" w:bidi="ar-SA"/>
              </w:rPr>
            </w:r>
          </w:p>
          <w:p>
            <w:pPr>
              <w:pStyle w:val="Normal"/>
              <w:widowControl/>
              <w:spacing w:before="0" w:after="0"/>
              <w:jc w:val="left"/>
              <w:rPr>
                <w:b/>
                <w:bCs/>
              </w:rPr>
            </w:pPr>
            <w:r>
              <w:rPr>
                <w:rFonts w:cs=""/>
                <w:b/>
                <w:bCs/>
                <w:kern w:val="0"/>
                <w:sz w:val="22"/>
                <w:szCs w:val="22"/>
                <w:lang w:val="pl-PL" w:eastAsia="en-US" w:bidi="ar-SA"/>
              </w:rPr>
            </w:r>
          </w:p>
          <w:p>
            <w:pPr>
              <w:pStyle w:val="Normal"/>
              <w:widowControl/>
              <w:spacing w:before="0" w:after="0"/>
              <w:jc w:val="left"/>
              <w:rPr>
                <w:b/>
                <w:bCs/>
              </w:rPr>
            </w:pPr>
            <w:r>
              <w:rPr>
                <w:rFonts w:cs=""/>
                <w:b/>
                <w:bCs/>
                <w:kern w:val="0"/>
                <w:sz w:val="22"/>
                <w:szCs w:val="22"/>
                <w:lang w:val="pl-PL" w:eastAsia="en-US" w:bidi="ar-SA"/>
              </w:rPr>
            </w:r>
          </w:p>
          <w:p>
            <w:pPr>
              <w:pStyle w:val="Normal"/>
              <w:widowControl/>
              <w:spacing w:before="0" w:after="0"/>
              <w:jc w:val="left"/>
              <w:rPr>
                <w:b/>
                <w:bCs/>
              </w:rPr>
            </w:pPr>
            <w:r>
              <w:rPr>
                <w:rFonts w:cs=""/>
                <w:b/>
                <w:bCs/>
                <w:kern w:val="0"/>
                <w:sz w:val="22"/>
                <w:szCs w:val="22"/>
                <w:lang w:val="pl-PL" w:eastAsia="en-US" w:bidi="ar-SA"/>
              </w:rPr>
            </w:r>
          </w:p>
          <w:p>
            <w:pPr>
              <w:pStyle w:val="Normal"/>
              <w:widowControl/>
              <w:spacing w:before="0" w:after="0"/>
              <w:jc w:val="left"/>
              <w:rPr>
                <w:b/>
                <w:bCs/>
              </w:rPr>
            </w:pPr>
            <w:r>
              <w:rPr>
                <w:rFonts w:cs=""/>
                <w:b/>
                <w:bCs/>
                <w:kern w:val="0"/>
                <w:sz w:val="22"/>
                <w:szCs w:val="22"/>
                <w:lang w:val="pl-PL" w:eastAsia="en-US" w:bidi="ar-SA"/>
              </w:rPr>
            </w:r>
          </w:p>
          <w:p>
            <w:pPr>
              <w:pStyle w:val="Normal"/>
              <w:widowControl/>
              <w:spacing w:before="0" w:after="0"/>
              <w:jc w:val="left"/>
              <w:rPr>
                <w:rFonts w:cs="Calibri" w:cstheme="minorHAnsi"/>
                <w:sz w:val="18"/>
                <w:szCs w:val="18"/>
              </w:rPr>
            </w:pPr>
            <w:r>
              <w:rPr>
                <w:rFonts w:cs=""/>
                <w:kern w:val="0"/>
                <w:sz w:val="18"/>
                <w:szCs w:val="18"/>
                <w:lang w:val="pl-PL" w:eastAsia="en-US" w:bidi="ar-SA"/>
              </w:rPr>
              <w:t>Wspieranie zrównoważonej mobilności miejskiej</w:t>
            </w:r>
          </w:p>
        </w:tc>
        <w:tc>
          <w:tcPr>
            <w:tcW w:w="1274" w:type="dxa"/>
            <w:tcBorders/>
          </w:tcPr>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Gmina Miasto Włocławek</w:t>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tc>
        <w:tc>
          <w:tcPr>
            <w:tcW w:w="1701" w:type="dxa"/>
            <w:tcBorders/>
          </w:tcPr>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 xml:space="preserve">Przebudowa </w:t>
              <w:br/>
              <w:t>i rozbudowa istniejącego Centrum Przesiadkowego we Włocławku w multimodalny węzeł przesiadkowy</w:t>
            </w:r>
          </w:p>
        </w:tc>
        <w:tc>
          <w:tcPr>
            <w:tcW w:w="994"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ZIT</w:t>
            </w:r>
          </w:p>
        </w:tc>
        <w:tc>
          <w:tcPr>
            <w:tcW w:w="993"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 kw.2024- IV kw.2026</w:t>
            </w:r>
          </w:p>
        </w:tc>
        <w:tc>
          <w:tcPr>
            <w:tcW w:w="1559"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27 753 303,96</w:t>
            </w:r>
          </w:p>
        </w:tc>
        <w:tc>
          <w:tcPr>
            <w:tcW w:w="710"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EFRR</w:t>
            </w:r>
          </w:p>
        </w:tc>
        <w:tc>
          <w:tcPr>
            <w:tcW w:w="1701"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27 753 303,96</w:t>
            </w:r>
          </w:p>
        </w:tc>
        <w:tc>
          <w:tcPr>
            <w:tcW w:w="1558"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6 302 221,66</w:t>
            </w:r>
          </w:p>
        </w:tc>
        <w:tc>
          <w:tcPr>
            <w:tcW w:w="1558"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21 451 082,30</w:t>
            </w:r>
          </w:p>
        </w:tc>
        <w:tc>
          <w:tcPr>
            <w:tcW w:w="3823" w:type="dxa"/>
            <w:tcBorders/>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produktu: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przebudowanych i rozbudowanych zintegrowanych węzłów przesiadkowych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Długość przebudowanych lub zmodernizowanych linii autobusowych – 310,2 km</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doposażonych obiektów „parkuj i jedź”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miejsc postojowych dla osób z niepełnosprawnościami w wybudowanych, przebudowanych lub doposażonych obiektach „parkuj i jedź”- 20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stanowisk postojowych w wybudowanych obiektach „Bike &amp;Ride” – 20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wspartych obiektów „parkuj i jedź”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wspartych zintegrowanych węzłów przesiadkowych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wybudowanych obiektów „Bike&amp;Ride”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wybudowanych obiektów „parkuj i jedź”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1 szt.</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rezultatu: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pojazdów korzystających z miejsc postojowych w wybudowanych, przebudowanych lub doposażonych obiektach „parkuj i jedź” – 300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Roczna liczba użytkowników nowego lub zmodernizowanego transportu publicznego - 4 542 141 osób</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Szacowana emisja gazów cieplarnianych – 0,5 tony równoważnika CO2/rok</w:t>
            </w:r>
          </w:p>
        </w:tc>
      </w:tr>
      <w:tr>
        <w:trPr>
          <w:trHeight w:val="1678" w:hRule="atLeast"/>
        </w:trPr>
        <w:tc>
          <w:tcPr>
            <w:tcW w:w="986" w:type="dxa"/>
            <w:tcBorders>
              <w:top w:val="nil"/>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ZIT-WL-R2</w:t>
            </w:r>
          </w:p>
        </w:tc>
        <w:tc>
          <w:tcPr>
            <w:tcW w:w="567"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CP2</w:t>
            </w:r>
          </w:p>
        </w:tc>
        <w:tc>
          <w:tcPr>
            <w:tcW w:w="715"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2(i)</w:t>
            </w:r>
          </w:p>
        </w:tc>
        <w:tc>
          <w:tcPr>
            <w:tcW w:w="1417" w:type="dxa"/>
            <w:tcBorders>
              <w:top w:val="nil"/>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Kompleksowa modernizacja energetyczna obiektów użyteczności publicznej wraz z audytem</w:t>
            </w:r>
          </w:p>
        </w:tc>
        <w:tc>
          <w:tcPr>
            <w:tcW w:w="1985" w:type="dxa"/>
            <w:tcBorders/>
          </w:tcPr>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Poprawa efektywności energetycznej oraz redukcja emisji gazów cieplarnianych na obszarze MOF</w:t>
            </w:r>
          </w:p>
        </w:tc>
        <w:tc>
          <w:tcPr>
            <w:tcW w:w="1274"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Gmina Włocławek</w:t>
            </w:r>
          </w:p>
        </w:tc>
        <w:tc>
          <w:tcPr>
            <w:tcW w:w="1701" w:type="dxa"/>
            <w:tcBorders>
              <w:top w:val="nil"/>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Termomodernizacja obiektów użyteczności publicznej</w:t>
            </w:r>
          </w:p>
        </w:tc>
        <w:tc>
          <w:tcPr>
            <w:tcW w:w="994"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stheme="minorHAnsi"/>
                <w:color w:val="000000"/>
                <w:kern w:val="0"/>
                <w:sz w:val="18"/>
                <w:szCs w:val="18"/>
                <w:lang w:val="pl-PL" w:eastAsia="pl-PL" w:bidi="ar-SA"/>
              </w:rPr>
              <w:t>ZIT</w:t>
            </w:r>
          </w:p>
        </w:tc>
        <w:tc>
          <w:tcPr>
            <w:tcW w:w="993"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stheme="minorHAnsi"/>
                <w:color w:val="000000"/>
                <w:kern w:val="0"/>
                <w:sz w:val="18"/>
                <w:szCs w:val="18"/>
                <w:lang w:val="pl-PL" w:eastAsia="pl-PL" w:bidi="ar-SA"/>
              </w:rPr>
              <w:t>NIE</w:t>
            </w:r>
          </w:p>
        </w:tc>
        <w:tc>
          <w:tcPr>
            <w:tcW w:w="1134" w:type="dxa"/>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 2024- IV kw. 2025</w:t>
            </w:r>
          </w:p>
        </w:tc>
        <w:tc>
          <w:tcPr>
            <w:tcW w:w="1559"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stheme="minorHAnsi"/>
                <w:color w:val="000000"/>
                <w:kern w:val="0"/>
                <w:sz w:val="18"/>
                <w:szCs w:val="18"/>
                <w:lang w:val="pl-PL" w:eastAsia="pl-PL" w:bidi="ar-SA"/>
              </w:rPr>
              <w:t>55 358,53</w:t>
            </w:r>
          </w:p>
        </w:tc>
        <w:tc>
          <w:tcPr>
            <w:tcW w:w="710"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EFRR</w:t>
            </w:r>
          </w:p>
        </w:tc>
        <w:tc>
          <w:tcPr>
            <w:tcW w:w="1701"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stheme="minorHAnsi"/>
                <w:color w:val="000000"/>
                <w:kern w:val="0"/>
                <w:sz w:val="18"/>
                <w:szCs w:val="18"/>
                <w:lang w:val="pl-PL" w:eastAsia="pl-PL" w:bidi="ar-SA"/>
              </w:rPr>
              <w:t>55 358,53</w:t>
            </w:r>
          </w:p>
        </w:tc>
        <w:tc>
          <w:tcPr>
            <w:tcW w:w="1558"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stheme="minorHAnsi"/>
                <w:color w:val="000000"/>
                <w:kern w:val="0"/>
                <w:sz w:val="18"/>
                <w:szCs w:val="18"/>
                <w:lang w:val="pl-PL" w:eastAsia="pl-PL" w:bidi="ar-SA"/>
              </w:rPr>
              <w:t>27 125,68</w:t>
            </w:r>
          </w:p>
        </w:tc>
        <w:tc>
          <w:tcPr>
            <w:tcW w:w="1558" w:type="dxa"/>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28 232,85</w:t>
            </w:r>
          </w:p>
        </w:tc>
        <w:tc>
          <w:tcPr>
            <w:tcW w:w="3823" w:type="dxa"/>
            <w:tcBorders/>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u w:val="single"/>
                <w:lang w:val="pl-PL" w:eastAsia="pl-PL" w:bidi="ar-SA"/>
              </w:rPr>
              <w:t>Wskaźniki produktu</w:t>
            </w:r>
            <w:r>
              <w:rPr>
                <w:rFonts w:eastAsia="Times New Roman" w:cs="Calibri"/>
                <w:color w:val="000000"/>
                <w:kern w:val="0"/>
                <w:sz w:val="18"/>
                <w:szCs w:val="18"/>
                <w:lang w:val="pl-PL" w:eastAsia="pl-PL" w:bidi="ar-SA"/>
              </w:rPr>
              <w: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Budynki publiczne o udoskonalonej charakterystyce energetycznej – 2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2 szt.</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rezultatu: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Szacowana emisja gazów cieplarnianych – 9,98 tony równoważnika CO2/rok</w:t>
            </w:r>
          </w:p>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Roczne zużycie energii pierwotnej (w tym: w lokalach mieszkalnych, budynkach publicznych, przedsiębiorstwach, innych) – 2,05 MWh/ rok</w:t>
            </w:r>
          </w:p>
        </w:tc>
      </w:tr>
      <w:tr>
        <w:trPr>
          <w:trHeight w:val="992" w:hRule="atLeast"/>
        </w:trPr>
        <w:tc>
          <w:tcPr>
            <w:tcW w:w="986" w:type="dxa"/>
            <w:tcBorders/>
            <w:vAlign w:val="center"/>
          </w:tcPr>
          <w:p>
            <w:pPr>
              <w:pStyle w:val="Normal"/>
              <w:widowControl/>
              <w:spacing w:before="0" w:after="0"/>
              <w:ind w:left="-546" w:firstLine="546"/>
              <w:jc w:val="center"/>
              <w:rPr>
                <w:rFonts w:cs="Calibri" w:cstheme="minorHAnsi"/>
                <w:sz w:val="18"/>
                <w:szCs w:val="18"/>
              </w:rPr>
            </w:pPr>
            <w:r>
              <w:rPr>
                <w:rFonts w:eastAsia="Times New Roman" w:cs="Calibri"/>
                <w:color w:val="000000"/>
                <w:kern w:val="0"/>
                <w:sz w:val="18"/>
                <w:szCs w:val="18"/>
                <w:lang w:val="pl-PL" w:eastAsia="pl-PL" w:bidi="ar-SA"/>
              </w:rPr>
              <w:t>ZIT-WL-R3</w:t>
            </w:r>
          </w:p>
        </w:tc>
        <w:tc>
          <w:tcPr>
            <w:tcW w:w="567"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CP2</w:t>
            </w:r>
          </w:p>
        </w:tc>
        <w:tc>
          <w:tcPr>
            <w:tcW w:w="715"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2(iv)</w:t>
            </w:r>
          </w:p>
        </w:tc>
        <w:tc>
          <w:tcPr>
            <w:tcW w:w="1417" w:type="dxa"/>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Działania adaptacyjne w miastach (nasadzenia, zazielenienie miast, gospodarowanie wodami odpadowymi)</w:t>
            </w:r>
          </w:p>
        </w:tc>
        <w:tc>
          <w:tcPr>
            <w:tcW w:w="1985" w:type="dxa"/>
            <w:tcBorders/>
          </w:tcPr>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Poprawa efektywności energetycznej oraz redukcja emisji gazów cieplarnianych na obszarze MOF</w:t>
            </w:r>
          </w:p>
        </w:tc>
        <w:tc>
          <w:tcPr>
            <w:tcW w:w="1274"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Gmina Miasto Włocławek</w:t>
            </w:r>
          </w:p>
        </w:tc>
        <w:tc>
          <w:tcPr>
            <w:tcW w:w="1701" w:type="dxa"/>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Utworzenie Parku Grzywno we Włocławku jako ogólnodostępnej przestrzeni rekreacyjno-wypoczynkowej</w:t>
            </w:r>
          </w:p>
        </w:tc>
        <w:tc>
          <w:tcPr>
            <w:tcW w:w="994"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ZIT</w:t>
            </w:r>
          </w:p>
        </w:tc>
        <w:tc>
          <w:tcPr>
            <w:tcW w:w="993" w:type="dxa"/>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TAK</w:t>
            </w:r>
          </w:p>
        </w:tc>
        <w:tc>
          <w:tcPr>
            <w:tcW w:w="1134" w:type="dxa"/>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kw.2022- IV kw.2023</w:t>
            </w:r>
          </w:p>
        </w:tc>
        <w:tc>
          <w:tcPr>
            <w:tcW w:w="1559"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3 521 101,32</w:t>
            </w:r>
          </w:p>
        </w:tc>
        <w:tc>
          <w:tcPr>
            <w:tcW w:w="710" w:type="dxa"/>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EFRR</w:t>
            </w:r>
          </w:p>
        </w:tc>
        <w:tc>
          <w:tcPr>
            <w:tcW w:w="1701"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3 521 101,32</w:t>
            </w:r>
          </w:p>
        </w:tc>
        <w:tc>
          <w:tcPr>
            <w:tcW w:w="1558"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2 763 436,12</w:t>
            </w:r>
          </w:p>
        </w:tc>
        <w:tc>
          <w:tcPr>
            <w:tcW w:w="1558"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757 665,20</w:t>
            </w:r>
          </w:p>
        </w:tc>
        <w:tc>
          <w:tcPr>
            <w:tcW w:w="3823" w:type="dxa"/>
            <w:tcBorders/>
            <w:vAlign w:val="center"/>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produktu: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miast wspartych w zakresie adaptacji do zmian klimatu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Zielona infrastruktura wybudowana lub zmodernizowana w celu przystosowania do zmian klimatu – 10 ha</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drzew poddanych zabiegom pielęgnacyjnym – 1 000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Pojemność obiektów małej retencji – 3 9238 ha</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rezultatu: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Objętość retencjonowanej wody – 28 000 m</w:t>
            </w:r>
            <w:r>
              <w:rPr>
                <w:rFonts w:eastAsia="Times New Roman" w:cs="Calibri"/>
                <w:color w:val="000000"/>
                <w:kern w:val="0"/>
                <w:sz w:val="18"/>
                <w:szCs w:val="18"/>
                <w:vertAlign w:val="superscript"/>
                <w:lang w:val="pl-PL" w:eastAsia="pl-PL" w:bidi="ar-SA"/>
              </w:rPr>
              <w:t>3</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Powierzchnia obszarów objętych strategiami na rzecz przystosowania się do zmian klimatu – 10 ha</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 – 100 000 osób</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1 szt.</w:t>
            </w:r>
          </w:p>
        </w:tc>
      </w:tr>
      <w:tr>
        <w:trPr>
          <w:trHeight w:val="850" w:hRule="atLeast"/>
        </w:trPr>
        <w:tc>
          <w:tcPr>
            <w:tcW w:w="986" w:type="dxa"/>
            <w:tcBorders/>
            <w:vAlign w:val="center"/>
          </w:tcPr>
          <w:p>
            <w:pPr>
              <w:pStyle w:val="Normal"/>
              <w:widowControl/>
              <w:spacing w:before="0" w:after="0"/>
              <w:ind w:left="-546" w:firstLine="546"/>
              <w:jc w:val="center"/>
              <w:rPr>
                <w:rFonts w:cs="Calibri" w:cstheme="minorHAnsi"/>
                <w:sz w:val="18"/>
                <w:szCs w:val="18"/>
              </w:rPr>
            </w:pPr>
            <w:r>
              <w:rPr>
                <w:rFonts w:eastAsia="Times New Roman" w:cs="Calibri"/>
                <w:color w:val="000000"/>
                <w:kern w:val="0"/>
                <w:sz w:val="18"/>
                <w:szCs w:val="18"/>
                <w:lang w:val="pl-PL" w:eastAsia="pl-PL" w:bidi="ar-SA"/>
              </w:rPr>
              <w:t>ZIT-WL-R4</w:t>
            </w:r>
          </w:p>
        </w:tc>
        <w:tc>
          <w:tcPr>
            <w:tcW w:w="567"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CP2</w:t>
            </w:r>
          </w:p>
        </w:tc>
        <w:tc>
          <w:tcPr>
            <w:tcW w:w="715"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2(v)</w:t>
            </w:r>
          </w:p>
        </w:tc>
        <w:tc>
          <w:tcPr>
            <w:tcW w:w="1417" w:type="dxa"/>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 xml:space="preserve">Projekty w zakresie Modernizacja stacji uzdatniania wody </w:t>
            </w:r>
          </w:p>
        </w:tc>
        <w:tc>
          <w:tcPr>
            <w:tcW w:w="1985" w:type="dxa"/>
            <w:tcBorders/>
          </w:tcPr>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t>Poprawa dostępu</w:t>
              <w:br/>
              <w:t xml:space="preserve"> do dobrej jakości wody</w:t>
              <w:br/>
              <w:t xml:space="preserve"> i zrównoważona </w:t>
              <w:br/>
              <w:t>gospodarka wodna oraz działania adaptacyjne mające na celu budowa</w:t>
            </w:r>
          </w:p>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nie odporności</w:t>
              <w:br/>
              <w:t xml:space="preserve">i przystosowanie </w:t>
              <w:br/>
              <w:t>do zmian klimatu</w:t>
            </w:r>
          </w:p>
        </w:tc>
        <w:tc>
          <w:tcPr>
            <w:tcW w:w="1274"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Gmina Boniewo</w:t>
            </w:r>
          </w:p>
        </w:tc>
        <w:tc>
          <w:tcPr>
            <w:tcW w:w="1701" w:type="dxa"/>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Rozbudowa stacji uzdatniania wody poprzez budowę studni głębinowej</w:t>
              <w:br/>
              <w:t xml:space="preserve"> z rurociągiem przesyłowym do SUW</w:t>
            </w:r>
          </w:p>
        </w:tc>
        <w:tc>
          <w:tcPr>
            <w:tcW w:w="994"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ZIT</w:t>
            </w:r>
          </w:p>
        </w:tc>
        <w:tc>
          <w:tcPr>
            <w:tcW w:w="993"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TAK</w:t>
            </w:r>
          </w:p>
        </w:tc>
        <w:tc>
          <w:tcPr>
            <w:tcW w:w="1134" w:type="dxa"/>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 2024- IV kw. 2026</w:t>
            </w:r>
          </w:p>
        </w:tc>
        <w:tc>
          <w:tcPr>
            <w:tcW w:w="1559"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1 101 321,58</w:t>
            </w:r>
          </w:p>
        </w:tc>
        <w:tc>
          <w:tcPr>
            <w:tcW w:w="710"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EFRR</w:t>
            </w:r>
          </w:p>
        </w:tc>
        <w:tc>
          <w:tcPr>
            <w:tcW w:w="1701"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1 101 321,58</w:t>
            </w:r>
          </w:p>
        </w:tc>
        <w:tc>
          <w:tcPr>
            <w:tcW w:w="1558"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936 123,34</w:t>
            </w:r>
          </w:p>
        </w:tc>
        <w:tc>
          <w:tcPr>
            <w:tcW w:w="1558"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165 198,24</w:t>
            </w:r>
          </w:p>
        </w:tc>
        <w:tc>
          <w:tcPr>
            <w:tcW w:w="3823" w:type="dxa"/>
            <w:tcBorders/>
            <w:vAlign w:val="center"/>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produktu: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Ilość wybudowanych studni głębinowych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 – 2 000 osób</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u w:val="single"/>
                <w:lang w:val="pl-PL" w:eastAsia="pl-PL" w:bidi="ar-SA"/>
              </w:rPr>
              <w:t>Wskaźniki rezultatu</w:t>
            </w:r>
            <w:r>
              <w:rPr>
                <w:rFonts w:eastAsia="Times New Roman" w:cs="Calibri"/>
                <w:color w:val="000000"/>
                <w:kern w:val="0"/>
                <w:sz w:val="18"/>
                <w:szCs w:val="18"/>
                <w:lang w:val="pl-PL" w:eastAsia="pl-PL" w:bidi="ar-SA"/>
              </w:rPr>
              <w: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przyłączona do udoskonalonych zbiorowych systemów zaopatrzenia w wodę – 2 000 osób</w:t>
            </w:r>
          </w:p>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 xml:space="preserve">Straty wody w zbiorowych systemach zaopatrzenia </w:t>
              <w:br/>
              <w:t>w wodę – 15 000 m3</w:t>
            </w:r>
          </w:p>
        </w:tc>
      </w:tr>
      <w:tr>
        <w:trPr>
          <w:trHeight w:val="548" w:hRule="atLeast"/>
        </w:trPr>
        <w:tc>
          <w:tcPr>
            <w:tcW w:w="11766" w:type="dxa"/>
            <w:gridSpan w:val="10"/>
            <w:tcBorders/>
            <w:shd w:color="auto" w:fill="75B4F3" w:val="clear"/>
            <w:vAlign w:val="center"/>
          </w:tcPr>
          <w:p>
            <w:pPr>
              <w:pStyle w:val="Normal"/>
              <w:widowControl/>
              <w:spacing w:before="0" w:after="0"/>
              <w:jc w:val="center"/>
              <w:rPr>
                <w:rFonts w:cs="Calibri" w:cstheme="minorHAnsi"/>
                <w:b/>
                <w:bCs/>
              </w:rPr>
            </w:pPr>
            <w:r>
              <w:rPr>
                <w:rFonts w:cs="Calibri" w:cstheme="minorHAnsi"/>
                <w:b/>
                <w:bCs/>
                <w:kern w:val="0"/>
                <w:sz w:val="22"/>
                <w:szCs w:val="22"/>
                <w:lang w:val="pl-PL" w:eastAsia="en-US" w:bidi="ar-SA"/>
              </w:rPr>
              <w:t>Razem CP2</w:t>
            </w:r>
          </w:p>
        </w:tc>
        <w:tc>
          <w:tcPr>
            <w:tcW w:w="1559" w:type="dxa"/>
            <w:tcBorders/>
            <w:shd w:color="auto" w:fill="75B4F3" w:val="clear"/>
            <w:vAlign w:val="center"/>
          </w:tcPr>
          <w:p>
            <w:pPr>
              <w:pStyle w:val="Normal"/>
              <w:widowControl/>
              <w:spacing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32 431 085,39</w:t>
            </w:r>
          </w:p>
        </w:tc>
        <w:tc>
          <w:tcPr>
            <w:tcW w:w="710" w:type="dxa"/>
            <w:tcBorders/>
            <w:shd w:color="auto" w:fill="75B4F3" w:val="clear"/>
            <w:vAlign w:val="center"/>
          </w:tcPr>
          <w:p>
            <w:pPr>
              <w:pStyle w:val="Normal"/>
              <w:widowControl/>
              <w:spacing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1701" w:type="dxa"/>
            <w:tcBorders/>
            <w:shd w:color="auto" w:fill="75B4F3" w:val="clear"/>
            <w:vAlign w:val="center"/>
          </w:tcPr>
          <w:p>
            <w:pPr>
              <w:pStyle w:val="Normal"/>
              <w:widowControl/>
              <w:spacing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32 431 085,39</w:t>
            </w:r>
          </w:p>
        </w:tc>
        <w:tc>
          <w:tcPr>
            <w:tcW w:w="1558" w:type="dxa"/>
            <w:tcBorders/>
            <w:shd w:color="auto" w:fill="75B4F3" w:val="clear"/>
            <w:vAlign w:val="center"/>
          </w:tcPr>
          <w:p>
            <w:pPr>
              <w:pStyle w:val="Normal"/>
              <w:widowControl/>
              <w:spacing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10 028 906,80</w:t>
            </w:r>
          </w:p>
        </w:tc>
        <w:tc>
          <w:tcPr>
            <w:tcW w:w="1558" w:type="dxa"/>
            <w:tcBorders/>
            <w:shd w:color="auto" w:fill="75B4F3" w:val="clear"/>
            <w:vAlign w:val="center"/>
          </w:tcPr>
          <w:p>
            <w:pPr>
              <w:pStyle w:val="Normal"/>
              <w:widowControl/>
              <w:spacing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22 402 178,59</w:t>
            </w:r>
          </w:p>
        </w:tc>
        <w:tc>
          <w:tcPr>
            <w:tcW w:w="3823" w:type="dxa"/>
            <w:tcBorders/>
            <w:shd w:color="auto" w:fill="75B4F3" w:val="clear"/>
            <w:vAlign w:val="center"/>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r>
          </w:p>
        </w:tc>
      </w:tr>
      <w:tr>
        <w:trPr>
          <w:trHeight w:val="850" w:hRule="atLeast"/>
        </w:trPr>
        <w:tc>
          <w:tcPr>
            <w:tcW w:w="986" w:type="dxa"/>
            <w:tcBorders>
              <w:top w:val="nil"/>
            </w:tcBorders>
            <w:vAlign w:val="center"/>
          </w:tcPr>
          <w:p>
            <w:pPr>
              <w:pStyle w:val="Normal"/>
              <w:widowControl/>
              <w:spacing w:before="0" w:after="0"/>
              <w:ind w:left="-546" w:firstLine="546"/>
              <w:jc w:val="center"/>
              <w:rPr>
                <w:rFonts w:cs="Calibri" w:cstheme="minorHAnsi"/>
                <w:sz w:val="18"/>
                <w:szCs w:val="18"/>
              </w:rPr>
            </w:pPr>
            <w:r>
              <w:rPr>
                <w:rFonts w:eastAsia="Times New Roman" w:cs="Calibri"/>
                <w:color w:val="000000"/>
                <w:kern w:val="0"/>
                <w:sz w:val="18"/>
                <w:szCs w:val="18"/>
                <w:lang w:val="pl-PL" w:eastAsia="pl-PL" w:bidi="ar-SA"/>
              </w:rPr>
              <w:t>ZIT-WL-R5</w:t>
            </w:r>
          </w:p>
        </w:tc>
        <w:tc>
          <w:tcPr>
            <w:tcW w:w="567"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CP5</w:t>
            </w:r>
          </w:p>
        </w:tc>
        <w:tc>
          <w:tcPr>
            <w:tcW w:w="715"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5(i)</w:t>
            </w:r>
          </w:p>
        </w:tc>
        <w:tc>
          <w:tcPr>
            <w:tcW w:w="1417" w:type="dxa"/>
            <w:tcBorders>
              <w:top w:val="nil"/>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 xml:space="preserve">Odnowa przestrzeni publicznych </w:t>
            </w:r>
          </w:p>
        </w:tc>
        <w:tc>
          <w:tcPr>
            <w:tcW w:w="1985" w:type="dxa"/>
            <w:tcBorders/>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Odnowa przestrzeni publicznych</w:t>
            </w:r>
          </w:p>
        </w:tc>
        <w:tc>
          <w:tcPr>
            <w:tcW w:w="1274"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Gmina Boniewo</w:t>
            </w:r>
          </w:p>
        </w:tc>
        <w:tc>
          <w:tcPr>
            <w:tcW w:w="1701" w:type="dxa"/>
            <w:tcBorders>
              <w:top w:val="nil"/>
            </w:tcBorders>
            <w:vAlign w:val="center"/>
          </w:tcPr>
          <w:p>
            <w:pPr>
              <w:pStyle w:val="Normal"/>
              <w:widowControl/>
              <w:spacing w:before="0" w:after="0"/>
              <w:jc w:val="left"/>
              <w:rPr>
                <w:rFonts w:cs="Calibri" w:cstheme="minorHAnsi"/>
                <w:sz w:val="18"/>
                <w:szCs w:val="18"/>
              </w:rPr>
            </w:pPr>
            <w:r>
              <w:rPr>
                <w:rFonts w:eastAsia="Times New Roman" w:cs="Calibri"/>
                <w:color w:val="000000"/>
                <w:kern w:val="0"/>
                <w:sz w:val="18"/>
                <w:szCs w:val="18"/>
                <w:lang w:val="pl-PL" w:eastAsia="pl-PL" w:bidi="ar-SA"/>
              </w:rPr>
              <w:t>Rozwój infrastruktury turystycznej, sportowej i rekreacyjnej na terenie Gminy Boniewo</w:t>
            </w:r>
          </w:p>
        </w:tc>
        <w:tc>
          <w:tcPr>
            <w:tcW w:w="994"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ZIT</w:t>
            </w:r>
          </w:p>
        </w:tc>
        <w:tc>
          <w:tcPr>
            <w:tcW w:w="993"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TAK</w:t>
            </w:r>
          </w:p>
        </w:tc>
        <w:tc>
          <w:tcPr>
            <w:tcW w:w="1134" w:type="dxa"/>
            <w:tcBorders>
              <w:top w:val="nil"/>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 2024- IV kw. 2026</w:t>
            </w:r>
          </w:p>
        </w:tc>
        <w:tc>
          <w:tcPr>
            <w:tcW w:w="1559"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1 101 321,58</w:t>
            </w:r>
          </w:p>
        </w:tc>
        <w:tc>
          <w:tcPr>
            <w:tcW w:w="710" w:type="dxa"/>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EFRR</w:t>
            </w:r>
          </w:p>
        </w:tc>
        <w:tc>
          <w:tcPr>
            <w:tcW w:w="1701"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1 101 321,58</w:t>
            </w:r>
          </w:p>
        </w:tc>
        <w:tc>
          <w:tcPr>
            <w:tcW w:w="1558"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936 123,34</w:t>
            </w:r>
          </w:p>
        </w:tc>
        <w:tc>
          <w:tcPr>
            <w:tcW w:w="1558" w:type="dxa"/>
            <w:tcBorders>
              <w:top w:val="nil"/>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165 198,24</w:t>
            </w:r>
          </w:p>
        </w:tc>
        <w:tc>
          <w:tcPr>
            <w:tcW w:w="3823" w:type="dxa"/>
            <w:tcBorders>
              <w:top w:val="nil"/>
            </w:tcBorders>
            <w:vAlign w:val="center"/>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produktu: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Powierzchnia obszarów objętych odnową przestrzeni publicznych – 2 ha</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 – 50 osób</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obiektów infrastrukturalnych wspartych w ramach odnowy przestrzeni publicznych – 2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projektów, w których sfinansowano koszty racjonalnych usprawnień dla osób z niepełnosprawnościami - 2 szt.</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rezultatu: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osób korzystających z obszarów publicznych objętych wsparciem  - 50 osób</w:t>
            </w:r>
          </w:p>
        </w:tc>
      </w:tr>
      <w:tr>
        <w:trPr>
          <w:trHeight w:val="850" w:hRule="atLeast"/>
        </w:trPr>
        <w:tc>
          <w:tcPr>
            <w:tcW w:w="986" w:type="dxa"/>
            <w:tcBorders>
              <w:top w:val="nil"/>
            </w:tcBorders>
            <w:vAlign w:val="center"/>
          </w:tcPr>
          <w:p>
            <w:pPr>
              <w:pStyle w:val="Normal"/>
              <w:widowControl/>
              <w:spacing w:before="0" w:after="0"/>
              <w:ind w:left="-546" w:firstLine="546"/>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ZIT-WL-R6</w:t>
            </w:r>
          </w:p>
        </w:tc>
        <w:tc>
          <w:tcPr>
            <w:tcW w:w="567" w:type="dxa"/>
            <w:tcBorders>
              <w:top w:val="nil"/>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CP5</w:t>
            </w:r>
          </w:p>
        </w:tc>
        <w:tc>
          <w:tcPr>
            <w:tcW w:w="715" w:type="dxa"/>
            <w:tcBorders>
              <w:top w:val="nil"/>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1417" w:type="dxa"/>
            <w:tcBorders>
              <w:top w:val="nil"/>
            </w:tcBorders>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Odnowa przestrzeni publicznych</w:t>
            </w:r>
          </w:p>
        </w:tc>
        <w:tc>
          <w:tcPr>
            <w:tcW w:w="1985" w:type="dxa"/>
            <w:tcBorders/>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Odnowa przestrzeni publicznych</w:t>
            </w:r>
          </w:p>
        </w:tc>
        <w:tc>
          <w:tcPr>
            <w:tcW w:w="1274" w:type="dxa"/>
            <w:tcBorders>
              <w:top w:val="nil"/>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Gmina Lubanie</w:t>
            </w:r>
          </w:p>
        </w:tc>
        <w:tc>
          <w:tcPr>
            <w:tcW w:w="1701" w:type="dxa"/>
            <w:tcBorders>
              <w:top w:val="nil"/>
            </w:tcBorders>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Odnowa przestrzeni publicznej - utworzenie terenu sportowo-rekreacyjnego w miejscowości Probostwo Dolne</w:t>
            </w:r>
          </w:p>
        </w:tc>
        <w:tc>
          <w:tcPr>
            <w:tcW w:w="994"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ZIT</w:t>
            </w:r>
          </w:p>
        </w:tc>
        <w:tc>
          <w:tcPr>
            <w:tcW w:w="993"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TAK</w:t>
            </w:r>
          </w:p>
        </w:tc>
        <w:tc>
          <w:tcPr>
            <w:tcW w:w="1134" w:type="dxa"/>
            <w:tcBorders>
              <w:top w:val="nil"/>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 2024- II kw. 2026</w:t>
            </w:r>
          </w:p>
        </w:tc>
        <w:tc>
          <w:tcPr>
            <w:tcW w:w="1559" w:type="dxa"/>
            <w:tcBorders>
              <w:top w:val="nil"/>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148 856,00</w:t>
            </w:r>
          </w:p>
        </w:tc>
        <w:tc>
          <w:tcPr>
            <w:tcW w:w="710" w:type="dxa"/>
            <w:tcBorders/>
            <w:shd w:color="auto" w:fill="auto" w:val="clear"/>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EFRR</w:t>
            </w:r>
          </w:p>
        </w:tc>
        <w:tc>
          <w:tcPr>
            <w:tcW w:w="1701" w:type="dxa"/>
            <w:tcBorders>
              <w:top w:val="nil"/>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148 856,00</w:t>
            </w:r>
          </w:p>
        </w:tc>
        <w:tc>
          <w:tcPr>
            <w:tcW w:w="1558" w:type="dxa"/>
            <w:tcBorders>
              <w:top w:val="nil"/>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126 527,00</w:t>
            </w:r>
          </w:p>
        </w:tc>
        <w:tc>
          <w:tcPr>
            <w:tcW w:w="1558" w:type="dxa"/>
            <w:tcBorders>
              <w:top w:val="nil"/>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22 329,00</w:t>
            </w:r>
          </w:p>
        </w:tc>
        <w:tc>
          <w:tcPr>
            <w:tcW w:w="3823" w:type="dxa"/>
            <w:tcBorders>
              <w:top w:val="nil"/>
            </w:tcBorders>
            <w:vAlign w:val="center"/>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produktu: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 – 330 osób</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 xml:space="preserve">Liczba obiektów infrastrukturalnych wspartych </w:t>
              <w:br/>
              <w:t>w ramach odnowy przestrzeni publicznych – 2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Powierzchnia obszarów objętych odnową przestrzeni publicznych – 0,83 ha</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rezultatu:</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lang w:val="pl-PL" w:eastAsia="pl-PL" w:bidi="ar-SA"/>
              </w:rPr>
              <w:t>Liczba osób korzystających z obszarów publicznych objętych wsparciem – 220 osób</w:t>
            </w:r>
          </w:p>
        </w:tc>
      </w:tr>
      <w:tr>
        <w:trPr>
          <w:trHeight w:val="566" w:hRule="atLeast"/>
        </w:trPr>
        <w:tc>
          <w:tcPr>
            <w:tcW w:w="986" w:type="dxa"/>
            <w:tcBorders/>
            <w:vAlign w:val="center"/>
          </w:tcPr>
          <w:p>
            <w:pPr>
              <w:pStyle w:val="Normal"/>
              <w:widowControl/>
              <w:spacing w:before="0" w:after="0"/>
              <w:ind w:left="-546" w:firstLine="546"/>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ZIT-WL-R7</w:t>
            </w:r>
          </w:p>
        </w:tc>
        <w:tc>
          <w:tcPr>
            <w:tcW w:w="567"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CP5</w:t>
            </w:r>
          </w:p>
        </w:tc>
        <w:tc>
          <w:tcPr>
            <w:tcW w:w="715"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1417" w:type="dxa"/>
            <w:tcBorders/>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 xml:space="preserve">Ochrona, rozwój i promowanie dziedzictwa kulturowego i usług w dziedzinie kultury </w:t>
            </w:r>
          </w:p>
        </w:tc>
        <w:tc>
          <w:tcPr>
            <w:tcW w:w="1985" w:type="dxa"/>
            <w:tcBorders/>
          </w:tcPr>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Wsparcie instytucji kultury</w:t>
            </w:r>
          </w:p>
        </w:tc>
        <w:tc>
          <w:tcPr>
            <w:tcW w:w="1274"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Gmina Boniewo</w:t>
            </w:r>
          </w:p>
        </w:tc>
        <w:tc>
          <w:tcPr>
            <w:tcW w:w="1701" w:type="dxa"/>
            <w:tcBorders/>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Budowa biblioteki wraz z infrastrukturą</w:t>
              <w:br/>
              <w:t xml:space="preserve"> i wyposażeniem </w:t>
              <w:br/>
              <w:t>w miejscowości Boniewo</w:t>
            </w:r>
          </w:p>
        </w:tc>
        <w:tc>
          <w:tcPr>
            <w:tcW w:w="994"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ZIT</w:t>
            </w:r>
          </w:p>
        </w:tc>
        <w:tc>
          <w:tcPr>
            <w:tcW w:w="993"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TAK</w:t>
            </w:r>
          </w:p>
        </w:tc>
        <w:tc>
          <w:tcPr>
            <w:tcW w:w="1134" w:type="dxa"/>
            <w:tcBorders>
              <w:top w:val="nil"/>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 xml:space="preserve">I kw.2024- </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kw.2025</w:t>
            </w:r>
          </w:p>
        </w:tc>
        <w:tc>
          <w:tcPr>
            <w:tcW w:w="1559"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660 792,95</w:t>
            </w:r>
          </w:p>
        </w:tc>
        <w:tc>
          <w:tcPr>
            <w:tcW w:w="710" w:type="dxa"/>
            <w:tcBorders/>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EFRR</w:t>
            </w:r>
          </w:p>
        </w:tc>
        <w:tc>
          <w:tcPr>
            <w:tcW w:w="1701"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660 792,95</w:t>
            </w:r>
          </w:p>
        </w:tc>
        <w:tc>
          <w:tcPr>
            <w:tcW w:w="1558"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561 674,00</w:t>
            </w:r>
          </w:p>
        </w:tc>
        <w:tc>
          <w:tcPr>
            <w:tcW w:w="1558" w:type="dxa"/>
            <w:tcBorders/>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99 145,95</w:t>
            </w:r>
          </w:p>
        </w:tc>
        <w:tc>
          <w:tcPr>
            <w:tcW w:w="3823" w:type="dxa"/>
            <w:tcBorders/>
            <w:vAlign w:val="center"/>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produktu: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obiektów kulturalnych i turystycznych objętych wsparciem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 – 50 osób</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projektów, w których sfinansowano koszty racjonalnych usprawnień dla osób z niepełnosprawnościami - 1 szt.</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rezultatu: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osób odwiedzających obiekty kulturalne i turystyczne objęte wsparciem – 50 osób odwiedzających/rok</w:t>
            </w:r>
          </w:p>
        </w:tc>
      </w:tr>
      <w:tr>
        <w:trPr>
          <w:trHeight w:val="850" w:hRule="atLeast"/>
        </w:trPr>
        <w:tc>
          <w:tcPr>
            <w:tcW w:w="986" w:type="dxa"/>
            <w:tcBorders>
              <w:top w:val="nil"/>
            </w:tcBorders>
            <w:shd w:color="auto" w:fill="auto" w:val="clear"/>
            <w:vAlign w:val="center"/>
          </w:tcPr>
          <w:p>
            <w:pPr>
              <w:pStyle w:val="Normal"/>
              <w:widowControl/>
              <w:spacing w:before="0" w:after="0"/>
              <w:ind w:left="-546" w:firstLine="546"/>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ZIT-WL-R8</w:t>
            </w:r>
          </w:p>
        </w:tc>
        <w:tc>
          <w:tcPr>
            <w:tcW w:w="567"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CP5</w:t>
            </w:r>
          </w:p>
        </w:tc>
        <w:tc>
          <w:tcPr>
            <w:tcW w:w="715"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5(i)</w:t>
            </w:r>
          </w:p>
        </w:tc>
        <w:tc>
          <w:tcPr>
            <w:tcW w:w="1417" w:type="dxa"/>
            <w:tcBorders>
              <w:top w:val="nil"/>
            </w:tcBorders>
            <w:shd w:color="auto" w:fill="auto" w:val="clear"/>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 xml:space="preserve">Wsparcie rozwoju turystyki </w:t>
            </w:r>
          </w:p>
        </w:tc>
        <w:tc>
          <w:tcPr>
            <w:tcW w:w="1985" w:type="dxa"/>
            <w:tcBorders/>
          </w:tcPr>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 xml:space="preserve">Rozwój turystyki  </w:t>
            </w:r>
          </w:p>
        </w:tc>
        <w:tc>
          <w:tcPr>
            <w:tcW w:w="1274"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Gmina Brześć Kujawski</w:t>
            </w:r>
          </w:p>
        </w:tc>
        <w:tc>
          <w:tcPr>
            <w:tcW w:w="1701" w:type="dxa"/>
            <w:tcBorders>
              <w:top w:val="nil"/>
            </w:tcBorders>
            <w:shd w:color="auto" w:fill="auto" w:val="clear"/>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 xml:space="preserve">Budowa basenów letnich w Brześciu Kujawskim </w:t>
            </w:r>
          </w:p>
        </w:tc>
        <w:tc>
          <w:tcPr>
            <w:tcW w:w="994"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ZIT</w:t>
            </w:r>
          </w:p>
        </w:tc>
        <w:tc>
          <w:tcPr>
            <w:tcW w:w="993" w:type="dxa"/>
            <w:tcBorders>
              <w:top w:val="nil"/>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TAK</w:t>
            </w:r>
          </w:p>
        </w:tc>
        <w:tc>
          <w:tcPr>
            <w:tcW w:w="1134" w:type="dxa"/>
            <w:tcBorders>
              <w:top w:val="nil"/>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 xml:space="preserve">I kw.2024- </w:t>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II kw.2025</w:t>
            </w:r>
          </w:p>
        </w:tc>
        <w:tc>
          <w:tcPr>
            <w:tcW w:w="1559"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1 740 321,58</w:t>
            </w:r>
          </w:p>
        </w:tc>
        <w:tc>
          <w:tcPr>
            <w:tcW w:w="710"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EFRR</w:t>
            </w:r>
          </w:p>
        </w:tc>
        <w:tc>
          <w:tcPr>
            <w:tcW w:w="1701"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1 740 321,58</w:t>
            </w:r>
          </w:p>
        </w:tc>
        <w:tc>
          <w:tcPr>
            <w:tcW w:w="1558"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1 479 273,34</w:t>
            </w:r>
          </w:p>
        </w:tc>
        <w:tc>
          <w:tcPr>
            <w:tcW w:w="1558" w:type="dxa"/>
            <w:tcBorders>
              <w:top w:val="nil"/>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261 048,24</w:t>
            </w:r>
          </w:p>
        </w:tc>
        <w:tc>
          <w:tcPr>
            <w:tcW w:w="3823" w:type="dxa"/>
            <w:tcBorders>
              <w:top w:val="nil"/>
            </w:tcBorders>
            <w:shd w:color="auto" w:fill="auto" w:val="clear"/>
            <w:vAlign w:val="center"/>
          </w:tcPr>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produktu: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Liczba obiektów kulturalnych i turystycznych objętych wsparciem – 1 szt.</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Ludność objęta projektami w ramach strategii zintegrowanego rozwoju terytorialnego – 686 osób</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Wspierane strategie zintegrowanego rozwoju terytorialnego – 1 szt.</w:t>
            </w:r>
          </w:p>
          <w:p>
            <w:pPr>
              <w:pStyle w:val="Normal"/>
              <w:widowControl/>
              <w:spacing w:before="0" w:after="0"/>
              <w:jc w:val="left"/>
              <w:rPr>
                <w:rFonts w:ascii="Calibri" w:hAnsi="Calibri" w:eastAsia="Times New Roman" w:cs="Calibri"/>
                <w:color w:val="000000"/>
                <w:sz w:val="18"/>
                <w:szCs w:val="18"/>
                <w:u w:val="single"/>
                <w:lang w:eastAsia="pl-PL"/>
              </w:rPr>
            </w:pPr>
            <w:r>
              <w:rPr>
                <w:rFonts w:eastAsia="Times New Roman" w:cs="Calibri"/>
                <w:color w:val="000000"/>
                <w:kern w:val="0"/>
                <w:sz w:val="18"/>
                <w:szCs w:val="18"/>
                <w:u w:val="single"/>
                <w:lang w:val="pl-PL" w:eastAsia="pl-PL" w:bidi="ar-SA"/>
              </w:rPr>
              <w:t>Wskaźniki rezultatu:</w:t>
            </w:r>
          </w:p>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olor w:val="000000"/>
                <w:kern w:val="0"/>
                <w:sz w:val="18"/>
                <w:szCs w:val="18"/>
                <w:lang w:val="pl-PL" w:eastAsia="pl-PL" w:bidi="ar-SA"/>
              </w:rPr>
              <w:t xml:space="preserve">Liczba osób odwiedzających obiekty kulturalne </w:t>
              <w:br/>
              <w:t>i turystyczne objęte wsparciem – 686 osób</w:t>
            </w:r>
          </w:p>
        </w:tc>
      </w:tr>
      <w:tr>
        <w:trPr>
          <w:trHeight w:val="850" w:hRule="atLeast"/>
        </w:trPr>
        <w:tc>
          <w:tcPr>
            <w:tcW w:w="986" w:type="dxa"/>
            <w:tcBorders/>
            <w:shd w:color="auto" w:fill="auto" w:val="clear"/>
            <w:vAlign w:val="center"/>
          </w:tcPr>
          <w:p>
            <w:pPr>
              <w:pStyle w:val="Normal"/>
              <w:widowControl/>
              <w:spacing w:before="0" w:after="0"/>
              <w:ind w:left="-546" w:firstLine="546"/>
              <w:jc w:val="left"/>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ZIT-WL-R9</w:t>
            </w:r>
          </w:p>
        </w:tc>
        <w:tc>
          <w:tcPr>
            <w:tcW w:w="567" w:type="dxa"/>
            <w:tcBorders/>
            <w:shd w:color="auto" w:fill="auto" w:val="clear"/>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CP5</w:t>
            </w:r>
          </w:p>
        </w:tc>
        <w:tc>
          <w:tcPr>
            <w:tcW w:w="715" w:type="dxa"/>
            <w:tcBorders/>
            <w:shd w:color="auto" w:fill="auto" w:val="clear"/>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5(i)</w:t>
            </w:r>
          </w:p>
        </w:tc>
        <w:tc>
          <w:tcPr>
            <w:tcW w:w="1417" w:type="dxa"/>
            <w:tcBorders/>
            <w:shd w:color="auto" w:fill="auto" w:val="clear"/>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 xml:space="preserve">Wsparcie rozwoju turystyki/ Ścieżki rowerowe </w:t>
            </w:r>
          </w:p>
        </w:tc>
        <w:tc>
          <w:tcPr>
            <w:tcW w:w="1985" w:type="dxa"/>
            <w:tcBorders/>
          </w:tcPr>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sz w:val="18"/>
                <w:szCs w:val="18"/>
              </w:rPr>
            </w:pPr>
            <w:r>
              <w:rPr>
                <w:rFonts w:cs=""/>
                <w:kern w:val="0"/>
                <w:sz w:val="18"/>
                <w:szCs w:val="18"/>
                <w:lang w:val="pl-PL" w:eastAsia="en-US" w:bidi="ar-SA"/>
              </w:rPr>
            </w:r>
          </w:p>
          <w:p>
            <w:pPr>
              <w:pStyle w:val="Normal"/>
              <w:widowControl/>
              <w:spacing w:lineRule="auto" w:line="276" w:before="0" w:after="0"/>
              <w:jc w:val="left"/>
              <w:rPr>
                <w:rFonts w:cs="Calibri" w:cstheme="minorHAnsi"/>
                <w:color w:val="000000" w:themeColor="text1"/>
                <w:sz w:val="18"/>
                <w:szCs w:val="18"/>
              </w:rPr>
            </w:pPr>
            <w:r>
              <w:rPr>
                <w:rFonts w:cs=""/>
                <w:kern w:val="0"/>
                <w:sz w:val="18"/>
                <w:szCs w:val="18"/>
                <w:lang w:val="pl-PL" w:eastAsia="en-US" w:bidi="ar-SA"/>
              </w:rPr>
              <w:t xml:space="preserve">Rozwój turystyki  </w:t>
            </w:r>
          </w:p>
        </w:tc>
        <w:tc>
          <w:tcPr>
            <w:tcW w:w="1274" w:type="dxa"/>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Gmina Lubraniec</w:t>
            </w:r>
          </w:p>
        </w:tc>
        <w:tc>
          <w:tcPr>
            <w:tcW w:w="1701" w:type="dxa"/>
            <w:tcBorders/>
            <w:shd w:color="auto" w:fill="auto" w:val="clear"/>
            <w:vAlign w:val="center"/>
          </w:tcPr>
          <w:p>
            <w:pPr>
              <w:pStyle w:val="Normal"/>
              <w:widowControl/>
              <w:spacing w:before="0" w:after="0"/>
              <w:jc w:val="left"/>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 xml:space="preserve">Rozwój infrastruktury i promocja oferty turystycznej w Gminie Lubraniec  </w:t>
            </w:r>
          </w:p>
        </w:tc>
        <w:tc>
          <w:tcPr>
            <w:tcW w:w="994"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ZIT</w:t>
            </w:r>
          </w:p>
        </w:tc>
        <w:tc>
          <w:tcPr>
            <w:tcW w:w="993" w:type="dxa"/>
            <w:tcBorders/>
            <w:shd w:color="auto" w:fill="auto" w:val="clear"/>
            <w:vAlign w:val="center"/>
          </w:tcPr>
          <w:p>
            <w:pPr>
              <w:pStyle w:val="Normal"/>
              <w:widowControl/>
              <w:spacing w:before="0" w:after="0"/>
              <w:jc w:val="center"/>
              <w:rPr>
                <w:rFonts w:cs="Calibri" w:cstheme="minorHAnsi"/>
                <w:sz w:val="18"/>
                <w:szCs w:val="18"/>
              </w:rPr>
            </w:pPr>
            <w:r>
              <w:rPr>
                <w:rFonts w:eastAsia="Times New Roman" w:cs="Calibri"/>
                <w:color w:val="000000"/>
                <w:kern w:val="0"/>
                <w:sz w:val="18"/>
                <w:szCs w:val="18"/>
                <w:lang w:val="pl-PL" w:eastAsia="pl-PL" w:bidi="ar-SA"/>
              </w:rPr>
              <w:t>TAK</w:t>
            </w:r>
          </w:p>
        </w:tc>
        <w:tc>
          <w:tcPr>
            <w:tcW w:w="1134" w:type="dxa"/>
            <w:tcBorders/>
            <w:vAlign w:val="center"/>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IV kw.2025- III kw.2026</w:t>
            </w:r>
          </w:p>
        </w:tc>
        <w:tc>
          <w:tcPr>
            <w:tcW w:w="1559" w:type="dxa"/>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481 181,51</w:t>
            </w:r>
          </w:p>
        </w:tc>
        <w:tc>
          <w:tcPr>
            <w:tcW w:w="710" w:type="dxa"/>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EFRR</w:t>
            </w:r>
          </w:p>
        </w:tc>
        <w:tc>
          <w:tcPr>
            <w:tcW w:w="1701" w:type="dxa"/>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481 181,51</w:t>
            </w:r>
          </w:p>
        </w:tc>
        <w:tc>
          <w:tcPr>
            <w:tcW w:w="1558" w:type="dxa"/>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409 004,28</w:t>
            </w:r>
          </w:p>
        </w:tc>
        <w:tc>
          <w:tcPr>
            <w:tcW w:w="1558" w:type="dxa"/>
            <w:tcBorders/>
            <w:shd w:color="auto" w:fill="auto" w:val="clear"/>
            <w:vAlign w:val="center"/>
          </w:tcPr>
          <w:p>
            <w:pPr>
              <w:pStyle w:val="Normal"/>
              <w:widowControl/>
              <w:spacing w:before="0" w:after="0"/>
              <w:jc w:val="center"/>
              <w:rPr>
                <w:rFonts w:ascii="Calibri" w:hAnsi="Calibri" w:eastAsia="Times New Roman" w:cs="Calibri"/>
                <w:color w:val="000000"/>
                <w:sz w:val="18"/>
                <w:szCs w:val="18"/>
                <w:lang w:eastAsia="pl-PL"/>
              </w:rPr>
            </w:pPr>
            <w:r>
              <w:rPr>
                <w:rFonts w:eastAsia="Times New Roman" w:cs="Calibri" w:cstheme="minorHAnsi"/>
                <w:color w:val="000000"/>
                <w:kern w:val="0"/>
                <w:sz w:val="18"/>
                <w:szCs w:val="18"/>
                <w:lang w:val="pl-PL" w:eastAsia="pl-PL" w:bidi="ar-SA"/>
              </w:rPr>
              <w:t>72 177,23</w:t>
            </w:r>
          </w:p>
        </w:tc>
        <w:tc>
          <w:tcPr>
            <w:tcW w:w="3823" w:type="dxa"/>
            <w:tcBorders/>
            <w:shd w:color="auto" w:fill="auto" w:val="clear"/>
            <w:vAlign w:val="center"/>
          </w:tcPr>
          <w:p>
            <w:pPr>
              <w:pStyle w:val="Normal"/>
              <w:widowControl/>
              <w:spacing w:before="0" w:after="0"/>
              <w:jc w:val="left"/>
              <w:rPr>
                <w:rFonts w:eastAsia="Times New Roman" w:cs="Calibri" w:cstheme="minorHAnsi"/>
                <w:color w:val="000000"/>
                <w:sz w:val="18"/>
                <w:szCs w:val="18"/>
                <w:u w:val="single"/>
                <w:lang w:eastAsia="pl-PL"/>
              </w:rPr>
            </w:pPr>
            <w:r>
              <w:rPr>
                <w:rFonts w:eastAsia="Times New Roman" w:cs="Calibri" w:cstheme="minorHAnsi"/>
                <w:color w:val="000000"/>
                <w:kern w:val="0"/>
                <w:sz w:val="18"/>
                <w:szCs w:val="18"/>
                <w:u w:val="single"/>
                <w:lang w:val="pl-PL" w:eastAsia="pl-PL" w:bidi="ar-SA"/>
              </w:rPr>
              <w:t>Wskaźniki produktu:</w:t>
            </w:r>
          </w:p>
          <w:p>
            <w:pPr>
              <w:pStyle w:val="Normal"/>
              <w:widowControl/>
              <w:spacing w:before="0" w:after="0"/>
              <w:jc w:val="left"/>
              <w:rPr>
                <w:rFonts w:eastAsia="Times New Roman" w:cs="Calibri" w:cstheme="minorHAnsi"/>
                <w:color w:val="000000"/>
                <w:sz w:val="18"/>
                <w:szCs w:val="18"/>
                <w:lang w:eastAsia="pl-PL"/>
              </w:rPr>
            </w:pPr>
            <w:r>
              <w:rPr>
                <w:rFonts w:eastAsia="Times New Roman" w:cs="Calibri" w:cstheme="minorHAnsi"/>
                <w:color w:val="000000"/>
                <w:kern w:val="0"/>
                <w:sz w:val="18"/>
                <w:szCs w:val="18"/>
                <w:lang w:val="pl-PL" w:eastAsia="pl-PL" w:bidi="ar-SA"/>
              </w:rPr>
              <w:t>Długość utworzonych szlaków turystycznych – 3,5 km</w:t>
            </w:r>
          </w:p>
          <w:p>
            <w:pPr>
              <w:pStyle w:val="Normal"/>
              <w:widowControl/>
              <w:spacing w:before="0" w:after="0"/>
              <w:jc w:val="left"/>
              <w:rPr>
                <w:rFonts w:eastAsia="Times New Roman" w:cs="Calibri" w:cstheme="minorHAnsi"/>
                <w:color w:val="000000"/>
                <w:sz w:val="18"/>
                <w:szCs w:val="18"/>
                <w:lang w:eastAsia="pl-PL"/>
              </w:rPr>
            </w:pPr>
            <w:r>
              <w:rPr>
                <w:rFonts w:eastAsia="Times New Roman" w:cs="Calibri" w:cstheme="minorHAnsi"/>
                <w:color w:val="000000"/>
                <w:kern w:val="0"/>
                <w:sz w:val="18"/>
                <w:szCs w:val="18"/>
                <w:lang w:val="pl-PL" w:eastAsia="pl-PL" w:bidi="ar-SA"/>
              </w:rPr>
              <w:t>Wspierane strategie zintegrowanego rozwoju terytorialnego – 1 szt.</w:t>
            </w:r>
          </w:p>
          <w:p>
            <w:pPr>
              <w:pStyle w:val="Normal"/>
              <w:widowControl/>
              <w:spacing w:before="0" w:after="0"/>
              <w:jc w:val="left"/>
              <w:rPr>
                <w:rFonts w:eastAsia="Times New Roman" w:cs="Calibri" w:cstheme="minorHAnsi"/>
                <w:color w:val="000000"/>
                <w:sz w:val="18"/>
                <w:szCs w:val="18"/>
                <w:u w:val="single"/>
                <w:lang w:eastAsia="pl-PL"/>
              </w:rPr>
            </w:pPr>
            <w:r>
              <w:rPr>
                <w:rFonts w:eastAsia="Times New Roman" w:cs="Calibri" w:cstheme="minorHAnsi"/>
                <w:color w:val="000000"/>
                <w:kern w:val="0"/>
                <w:sz w:val="18"/>
                <w:szCs w:val="18"/>
                <w:u w:val="single"/>
                <w:lang w:val="pl-PL" w:eastAsia="pl-PL" w:bidi="ar-SA"/>
              </w:rPr>
              <w:t>Wskaźniki rezultatu:</w:t>
            </w:r>
          </w:p>
          <w:p>
            <w:pPr>
              <w:pStyle w:val="Normal"/>
              <w:widowControl/>
              <w:spacing w:before="0" w:after="0"/>
              <w:jc w:val="left"/>
              <w:rPr>
                <w:rFonts w:eastAsia="Times New Roman" w:cs="Calibri" w:cstheme="minorHAnsi"/>
                <w:color w:val="000000"/>
                <w:sz w:val="18"/>
                <w:szCs w:val="18"/>
                <w:lang w:eastAsia="pl-PL"/>
              </w:rPr>
            </w:pPr>
            <w:r>
              <w:rPr>
                <w:rFonts w:eastAsia="Times New Roman" w:cs="Calibri" w:cstheme="minorHAnsi"/>
                <w:color w:val="000000"/>
                <w:kern w:val="0"/>
                <w:sz w:val="18"/>
                <w:szCs w:val="18"/>
                <w:lang w:val="pl-PL" w:eastAsia="pl-PL" w:bidi="ar-SA"/>
              </w:rPr>
              <w:t xml:space="preserve">Liczba osób odwiedzających obiekty kulturalne </w:t>
              <w:br/>
              <w:t>i turystyczne objęte wsparciem – 500 osób odwiedzających/rok</w:t>
            </w:r>
          </w:p>
        </w:tc>
      </w:tr>
      <w:tr>
        <w:trPr>
          <w:trHeight w:val="577" w:hRule="atLeast"/>
        </w:trPr>
        <w:tc>
          <w:tcPr>
            <w:tcW w:w="11766" w:type="dxa"/>
            <w:gridSpan w:val="10"/>
            <w:tcBorders/>
            <w:shd w:color="auto" w:fill="75B4F3" w:val="clear"/>
            <w:vAlign w:val="center"/>
          </w:tcPr>
          <w:p>
            <w:pPr>
              <w:pStyle w:val="Normal"/>
              <w:widowControl/>
              <w:spacing w:before="0" w:after="0"/>
              <w:jc w:val="center"/>
              <w:rPr>
                <w:rFonts w:cs="Calibri" w:cstheme="minorHAnsi"/>
                <w:b/>
                <w:bCs/>
              </w:rPr>
            </w:pPr>
            <w:r>
              <w:rPr>
                <w:rFonts w:cs="Calibri" w:cstheme="minorHAnsi"/>
                <w:b/>
                <w:bCs/>
                <w:kern w:val="0"/>
                <w:sz w:val="22"/>
                <w:szCs w:val="22"/>
                <w:lang w:val="pl-PL" w:eastAsia="en-US" w:bidi="ar-SA"/>
              </w:rPr>
              <w:t>Razem CP5</w:t>
            </w:r>
          </w:p>
        </w:tc>
        <w:tc>
          <w:tcPr>
            <w:tcW w:w="1559" w:type="dxa"/>
            <w:tcBorders/>
            <w:shd w:color="auto" w:fill="75B4F3" w:val="clear"/>
            <w:vAlign w:val="center"/>
          </w:tcPr>
          <w:p>
            <w:pPr>
              <w:pStyle w:val="Normal"/>
              <w:widowControl/>
              <w:spacing w:before="0" w:after="0"/>
              <w:jc w:val="center"/>
              <w:rPr>
                <w:rFonts w:eastAsia="Times New Roman" w:cs="Calibri" w:cstheme="minorHAnsi"/>
                <w:b/>
                <w:bCs/>
                <w:color w:val="000000"/>
                <w:lang w:eastAsia="pl-PL"/>
              </w:rPr>
            </w:pPr>
            <w:r>
              <w:rPr>
                <w:rFonts w:eastAsia="Times New Roman" w:cs="Calibri" w:cstheme="minorHAnsi"/>
                <w:b/>
                <w:bCs/>
                <w:color w:val="000000"/>
                <w:kern w:val="0"/>
                <w:sz w:val="22"/>
                <w:szCs w:val="22"/>
                <w:lang w:val="pl-PL" w:eastAsia="pl-PL" w:bidi="ar-SA"/>
              </w:rPr>
              <w:t>4 132 473,62</w:t>
            </w:r>
          </w:p>
        </w:tc>
        <w:tc>
          <w:tcPr>
            <w:tcW w:w="710" w:type="dxa"/>
            <w:tcBorders/>
            <w:shd w:color="auto" w:fill="75B4F3" w:val="clear"/>
            <w:vAlign w:val="center"/>
          </w:tcPr>
          <w:p>
            <w:pPr>
              <w:pStyle w:val="Normal"/>
              <w:widowControl/>
              <w:spacing w:before="0" w:after="0"/>
              <w:jc w:val="center"/>
              <w:rPr>
                <w:rFonts w:eastAsia="Times New Roman" w:cs="Calibri" w:cstheme="minorHAnsi"/>
                <w:b/>
                <w:bCs/>
                <w:color w:val="000000"/>
                <w:lang w:eastAsia="pl-PL"/>
              </w:rPr>
            </w:pPr>
            <w:r>
              <w:rPr>
                <w:rFonts w:eastAsia="Times New Roman" w:cs="Calibri" w:cstheme="minorHAnsi"/>
                <w:b/>
                <w:bCs/>
                <w:color w:val="000000"/>
                <w:kern w:val="0"/>
                <w:sz w:val="22"/>
                <w:szCs w:val="22"/>
                <w:lang w:val="pl-PL" w:eastAsia="pl-PL" w:bidi="ar-SA"/>
              </w:rPr>
            </w:r>
          </w:p>
        </w:tc>
        <w:tc>
          <w:tcPr>
            <w:tcW w:w="1701" w:type="dxa"/>
            <w:tcBorders/>
            <w:shd w:color="auto" w:fill="75B4F3" w:val="clear"/>
            <w:vAlign w:val="center"/>
          </w:tcPr>
          <w:p>
            <w:pPr>
              <w:pStyle w:val="Normal"/>
              <w:widowControl/>
              <w:spacing w:before="0" w:after="0"/>
              <w:jc w:val="center"/>
              <w:rPr>
                <w:rFonts w:eastAsia="Times New Roman" w:cs="Calibri" w:cstheme="minorHAnsi"/>
                <w:b/>
                <w:bCs/>
                <w:color w:val="000000"/>
                <w:lang w:eastAsia="pl-PL"/>
              </w:rPr>
            </w:pPr>
            <w:r>
              <w:rPr>
                <w:rFonts w:eastAsia="Times New Roman" w:cs="Calibri" w:cstheme="minorHAnsi"/>
                <w:b/>
                <w:bCs/>
                <w:color w:val="000000"/>
                <w:kern w:val="0"/>
                <w:sz w:val="22"/>
                <w:szCs w:val="22"/>
                <w:lang w:val="pl-PL" w:eastAsia="pl-PL" w:bidi="ar-SA"/>
              </w:rPr>
              <w:t> </w:t>
            </w:r>
            <w:r>
              <w:rPr>
                <w:rFonts w:eastAsia="Times New Roman" w:cs="Calibri" w:cstheme="minorHAnsi"/>
                <w:b/>
                <w:bCs/>
                <w:color w:val="000000"/>
                <w:kern w:val="0"/>
                <w:sz w:val="22"/>
                <w:szCs w:val="22"/>
                <w:lang w:val="pl-PL" w:eastAsia="pl-PL" w:bidi="ar-SA"/>
              </w:rPr>
              <w:t>4 132 473,62</w:t>
            </w:r>
          </w:p>
        </w:tc>
        <w:tc>
          <w:tcPr>
            <w:tcW w:w="1558" w:type="dxa"/>
            <w:tcBorders/>
            <w:shd w:color="auto" w:fill="75B4F3" w:val="clear"/>
            <w:vAlign w:val="center"/>
          </w:tcPr>
          <w:p>
            <w:pPr>
              <w:pStyle w:val="Normal"/>
              <w:widowControl/>
              <w:spacing w:before="0" w:after="0"/>
              <w:jc w:val="center"/>
              <w:rPr>
                <w:rFonts w:eastAsia="Times New Roman" w:cs="Calibri" w:cstheme="minorHAnsi"/>
                <w:b/>
                <w:bCs/>
                <w:color w:val="000000"/>
                <w:lang w:eastAsia="pl-PL"/>
              </w:rPr>
            </w:pPr>
            <w:r>
              <w:rPr>
                <w:rFonts w:eastAsia="Times New Roman" w:cs="Calibri" w:cstheme="minorHAnsi"/>
                <w:b/>
                <w:bCs/>
                <w:color w:val="000000"/>
                <w:kern w:val="0"/>
                <w:sz w:val="22"/>
                <w:szCs w:val="22"/>
                <w:lang w:val="pl-PL" w:eastAsia="pl-PL" w:bidi="ar-SA"/>
              </w:rPr>
              <w:t>3 512 601,96</w:t>
            </w:r>
          </w:p>
        </w:tc>
        <w:tc>
          <w:tcPr>
            <w:tcW w:w="1558" w:type="dxa"/>
            <w:tcBorders/>
            <w:shd w:color="auto" w:fill="75B4F3" w:val="clear"/>
            <w:vAlign w:val="center"/>
          </w:tcPr>
          <w:p>
            <w:pPr>
              <w:pStyle w:val="Normal"/>
              <w:widowControl/>
              <w:spacing w:before="0" w:after="0"/>
              <w:jc w:val="center"/>
              <w:rPr>
                <w:rFonts w:eastAsia="Times New Roman" w:cs="Calibri" w:cstheme="minorHAnsi"/>
                <w:b/>
                <w:bCs/>
                <w:color w:val="000000"/>
                <w:lang w:eastAsia="pl-PL"/>
              </w:rPr>
            </w:pPr>
            <w:r>
              <w:rPr>
                <w:rFonts w:eastAsia="Times New Roman" w:cs="Calibri" w:cstheme="minorHAnsi"/>
                <w:b/>
                <w:bCs/>
                <w:color w:val="000000"/>
                <w:kern w:val="0"/>
                <w:sz w:val="22"/>
                <w:szCs w:val="22"/>
                <w:lang w:val="pl-PL" w:eastAsia="pl-PL" w:bidi="ar-SA"/>
              </w:rPr>
              <w:t>619 898,66</w:t>
            </w:r>
          </w:p>
        </w:tc>
        <w:tc>
          <w:tcPr>
            <w:tcW w:w="3823" w:type="dxa"/>
            <w:tcBorders/>
            <w:shd w:color="auto" w:fill="75B4F3" w:val="clear"/>
            <w:vAlign w:val="center"/>
          </w:tcPr>
          <w:p>
            <w:pPr>
              <w:pStyle w:val="Normal"/>
              <w:widowControl/>
              <w:spacing w:before="0" w:after="0"/>
              <w:jc w:val="left"/>
              <w:rPr>
                <w:rFonts w:eastAsia="Times New Roman" w:cs="Calibri" w:cstheme="minorHAnsi"/>
                <w:color w:val="000000"/>
                <w:sz w:val="18"/>
                <w:szCs w:val="18"/>
                <w:u w:val="single"/>
                <w:lang w:eastAsia="pl-PL"/>
              </w:rPr>
            </w:pPr>
            <w:r>
              <w:rPr>
                <w:rFonts w:eastAsia="Times New Roman" w:cs="Calibri" w:cstheme="minorHAnsi"/>
                <w:color w:val="000000"/>
                <w:kern w:val="0"/>
                <w:sz w:val="18"/>
                <w:szCs w:val="18"/>
                <w:u w:val="single"/>
                <w:lang w:val="pl-PL" w:eastAsia="pl-PL" w:bidi="ar-SA"/>
              </w:rPr>
            </w:r>
          </w:p>
        </w:tc>
      </w:tr>
    </w:tbl>
    <w:p>
      <w:pPr>
        <w:pStyle w:val="Normal"/>
        <w:spacing w:lineRule="auto" w:line="240" w:before="0" w:after="0"/>
        <w:rPr>
          <w:rFonts w:ascii="Calibri" w:hAnsi="Calibri" w:eastAsia="Times New Roman" w:cs="Calibri"/>
          <w:b/>
          <w:bCs/>
          <w:color w:val="000000"/>
          <w:sz w:val="14"/>
          <w:szCs w:val="14"/>
          <w:lang w:eastAsia="pl-PL"/>
        </w:rPr>
      </w:pPr>
      <w:r>
        <w:rPr>
          <w:rFonts w:eastAsia="Times New Roman" w:cs="Calibri"/>
          <w:b/>
          <w:bCs/>
          <w:color w:val="000000"/>
          <w:sz w:val="14"/>
          <w:szCs w:val="14"/>
          <w:lang w:eastAsia="pl-PL"/>
        </w:rPr>
      </w:r>
    </w:p>
    <w:p>
      <w:pPr>
        <w:sectPr>
          <w:headerReference w:type="default" r:id="rId43"/>
          <w:footerReference w:type="default" r:id="rId44"/>
          <w:footnotePr>
            <w:numFmt w:val="decimal"/>
          </w:footnotePr>
          <w:type w:val="nextPage"/>
          <w:pgSz w:orient="landscape" w:w="23811" w:h="16838"/>
          <w:pgMar w:left="1134" w:right="1559" w:gutter="0" w:header="284" w:top="1418" w:footer="227" w:bottom="1418"/>
          <w:pgNumType w:fmt="decimal"/>
          <w:formProt w:val="false"/>
          <w:textDirection w:val="lrTb"/>
          <w:docGrid w:type="default" w:linePitch="360" w:charSpace="4096"/>
        </w:sectPr>
        <w:pStyle w:val="Normal"/>
        <w:spacing w:lineRule="auto" w:line="240" w:before="0" w:after="0"/>
        <w:rPr>
          <w:rFonts w:ascii="Calibri" w:hAnsi="Calibri" w:eastAsia="Times New Roman" w:cs="Calibri"/>
          <w:b/>
          <w:bCs/>
          <w:color w:val="000000"/>
          <w:sz w:val="14"/>
          <w:szCs w:val="14"/>
          <w:lang w:eastAsia="pl-PL"/>
        </w:rPr>
      </w:pPr>
      <w:r>
        <w:rPr>
          <w:rFonts w:eastAsia="Times New Roman" w:cs="Calibri"/>
          <w:b/>
          <w:bCs/>
          <w:color w:val="000000"/>
          <w:sz w:val="14"/>
          <w:szCs w:val="14"/>
          <w:lang w:eastAsia="pl-PL"/>
        </w:rPr>
      </w:r>
    </w:p>
    <w:tbl>
      <w:tblPr>
        <w:tblW w:w="152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91"/>
        <w:gridCol w:w="5426"/>
        <w:gridCol w:w="759"/>
        <w:gridCol w:w="719"/>
        <w:gridCol w:w="1025"/>
        <w:gridCol w:w="1087"/>
        <w:gridCol w:w="1072"/>
        <w:gridCol w:w="620"/>
        <w:gridCol w:w="707"/>
        <w:gridCol w:w="738"/>
        <w:gridCol w:w="583"/>
        <w:gridCol w:w="738"/>
        <w:gridCol w:w="667"/>
        <w:gridCol w:w="638"/>
      </w:tblGrid>
      <w:tr>
        <w:trPr>
          <w:trHeight w:val="300" w:hRule="atLeast"/>
        </w:trPr>
        <w:tc>
          <w:tcPr>
            <w:tcW w:w="491"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4"/>
                <w:szCs w:val="24"/>
                <w:lang w:eastAsia="pl-PL"/>
              </w:rPr>
            </w:pPr>
            <w:r>
              <w:rPr>
                <w:rFonts w:eastAsia="Times New Roman" w:cs="Times New Roman" w:ascii="Times New Roman" w:hAnsi="Times New Roman"/>
                <w:sz w:val="24"/>
                <w:szCs w:val="24"/>
                <w:lang w:eastAsia="pl-PL"/>
              </w:rPr>
            </w:r>
          </w:p>
        </w:tc>
        <w:tc>
          <w:tcPr>
            <w:tcW w:w="5426" w:type="dxa"/>
            <w:tcBorders/>
            <w:shd w:color="auto" w:fill="auto" w:val="clear"/>
            <w:vAlign w:val="bottom"/>
          </w:tcPr>
          <w:p>
            <w:pPr>
              <w:pStyle w:val="Normal"/>
              <w:widowControl w:val="false"/>
              <w:spacing w:lineRule="auto" w:line="240" w:before="0" w:after="0"/>
              <w:rPr>
                <w:rFonts w:ascii="Calibri" w:hAnsi="Calibri" w:eastAsia="Times New Roman" w:cs="Calibri"/>
                <w:color w:val="000000"/>
                <w:lang w:eastAsia="pl-PL"/>
              </w:rPr>
            </w:pPr>
            <w:r>
              <w:rPr>
                <w:rFonts w:eastAsia="Times New Roman" w:cs="Calibri"/>
                <w:color w:val="000000"/>
                <w:lang w:eastAsia="pl-PL"/>
              </w:rPr>
            </w:r>
          </w:p>
        </w:tc>
        <w:tc>
          <w:tcPr>
            <w:tcW w:w="759" w:type="dxa"/>
            <w:tcBorders/>
            <w:shd w:color="auto" w:fill="auto" w:val="clear"/>
            <w:vAlign w:val="bottom"/>
          </w:tcPr>
          <w:p>
            <w:pPr>
              <w:pStyle w:val="Normal"/>
              <w:widowControl w:val="false"/>
              <w:spacing w:lineRule="auto" w:line="240" w:before="0" w:after="0"/>
              <w:rPr>
                <w:rFonts w:ascii="Calibri" w:hAnsi="Calibri" w:eastAsia="Times New Roman" w:cs="Calibri"/>
                <w:color w:val="000000"/>
                <w:lang w:eastAsia="pl-PL"/>
              </w:rPr>
            </w:pPr>
            <w:r>
              <w:rPr>
                <w:rFonts w:eastAsia="Times New Roman" w:cs="Calibri"/>
                <w:color w:val="000000"/>
                <w:lang w:eastAsia="pl-PL"/>
              </w:rPr>
            </w:r>
          </w:p>
        </w:tc>
        <w:tc>
          <w:tcPr>
            <w:tcW w:w="719"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1025"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1087"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1072"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620"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707"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738"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583"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738"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667"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c>
          <w:tcPr>
            <w:tcW w:w="638" w:type="dxa"/>
            <w:tcBorders/>
            <w:shd w:color="auto" w:fill="auto" w:val="clear"/>
            <w:vAlign w:val="bottom"/>
          </w:tcPr>
          <w:p>
            <w:pPr>
              <w:pStyle w:val="Normal"/>
              <w:widowControl w:val="false"/>
              <w:spacing w:lineRule="auto" w:line="240" w:before="0" w:after="0"/>
              <w:rPr>
                <w:rFonts w:ascii="Times New Roman" w:hAnsi="Times New Roman" w:eastAsia="Times New Roman" w:cs="Times New Roman"/>
                <w:sz w:val="20"/>
                <w:szCs w:val="20"/>
                <w:lang w:eastAsia="pl-PL"/>
              </w:rPr>
            </w:pPr>
            <w:r>
              <w:rPr>
                <w:rFonts w:eastAsia="Times New Roman" w:cs="Times New Roman" w:ascii="Times New Roman" w:hAnsi="Times New Roman"/>
                <w:sz w:val="20"/>
                <w:szCs w:val="20"/>
                <w:lang w:eastAsia="pl-PL"/>
              </w:rPr>
            </w:r>
          </w:p>
        </w:tc>
      </w:tr>
    </w:tbl>
    <w:p>
      <w:pPr>
        <w:pStyle w:val="Nagwek1"/>
        <w:numPr>
          <w:ilvl w:val="0"/>
          <w:numId w:val="57"/>
        </w:numPr>
        <w:tabs>
          <w:tab w:val="clear" w:pos="680"/>
          <w:tab w:val="left" w:pos="567" w:leader="none"/>
        </w:tabs>
        <w:rPr/>
      </w:pPr>
      <w:bookmarkStart w:id="214" w:name="_Hlk134098313"/>
      <w:bookmarkStart w:id="215" w:name="_Toc143161934"/>
      <w:r>
        <w:rPr/>
        <w:t>Plan wdrożeniowy dla realizacji strategii</w:t>
      </w:r>
      <w:bookmarkEnd w:id="215"/>
      <w:r>
        <w:rPr/>
        <w:t xml:space="preserve"> </w:t>
      </w:r>
      <w:bookmarkEnd w:id="214"/>
    </w:p>
    <w:p>
      <w:pPr>
        <w:pStyle w:val="Normal"/>
        <w:spacing w:lineRule="auto" w:line="276"/>
        <w:jc w:val="both"/>
        <w:rPr>
          <w:rFonts w:eastAsia="Times New Roman" w:cs="Times New Roman"/>
          <w:kern w:val="2"/>
        </w:rPr>
      </w:pPr>
      <w:bookmarkStart w:id="216" w:name="_Hlk135205185"/>
      <w:r>
        <w:rPr>
          <w:rFonts w:eastAsia="Times New Roman" w:cs="Times New Roman"/>
          <w:kern w:val="2"/>
        </w:rPr>
        <w:t>Za realizację ogółu ustaleń strategii terytorialnej odpowiedzialne są władze partnerstwa</w:t>
      </w:r>
      <w:r>
        <w:rPr>
          <w:rStyle w:val="Zakotwiczenieprzypisudolnego"/>
          <w:rFonts w:eastAsia="Times New Roman" w:cs="Times New Roman"/>
          <w:kern w:val="2"/>
          <w:vertAlign w:val="superscript"/>
        </w:rPr>
        <w:footnoteReference w:id="48"/>
      </w:r>
      <w:r>
        <w:rPr>
          <w:rFonts w:eastAsia="Times New Roman" w:cs="Times New Roman"/>
          <w:kern w:val="2"/>
        </w:rPr>
        <w:t>, które realizują to zadanie poprzez Zespół Zadaniowy ds. Realizacji Strategii. Zespół Zadaniowy ds. Realizacji Strategii zostanie powołany spośród pracowników jednostek samorządu terytorialnego będących sygnatariuszami partnerstwa, na wniosek władz partnerstwa w uzgodnieniu ze Starostą, Prezydentem, Wójtami oraz Burmistrzami jst wchodzącymi w skład partnerstwa. Władze partnerstwa w uzgodnieniu z Członkami jednostek samorządu terytorialnego wchodzącymi w skład partnerstwa, określą szczegółowe zadania Zespołu. Powyższe zadania są związane z projektem polegającym na wsparciu administracyjnym dla prowadzenia polityki terytorialnej w partnerstwie</w:t>
      </w:r>
      <w:bookmarkEnd w:id="216"/>
      <w:r>
        <w:rPr>
          <w:rFonts w:eastAsia="Times New Roman" w:cs="Times New Roman"/>
          <w:kern w:val="2"/>
        </w:rPr>
        <w:t xml:space="preserve">. </w:t>
      </w:r>
    </w:p>
    <w:p>
      <w:pPr>
        <w:pStyle w:val="Normal"/>
        <w:spacing w:lineRule="auto" w:line="259"/>
        <w:rPr>
          <w:rFonts w:eastAsia="Times New Roman" w:cs="Times New Roman"/>
          <w:kern w:val="2"/>
        </w:rPr>
      </w:pPr>
      <w:r>
        <w:rPr>
          <w:rFonts w:eastAsia="Times New Roman" w:cs="Times New Roman"/>
          <w:kern w:val="2"/>
        </w:rPr>
        <w:t>Rolą Zespołu będzie:</w:t>
      </w:r>
    </w:p>
    <w:p>
      <w:pPr>
        <w:pStyle w:val="Normal"/>
        <w:numPr>
          <w:ilvl w:val="0"/>
          <w:numId w:val="13"/>
        </w:numPr>
        <w:spacing w:lineRule="auto" w:line="276" w:before="0" w:after="160"/>
        <w:contextualSpacing/>
        <w:jc w:val="both"/>
        <w:rPr>
          <w:rFonts w:eastAsia="Times New Roman" w:cs="Times New Roman"/>
          <w:kern w:val="2"/>
        </w:rPr>
      </w:pPr>
      <w:r>
        <w:rPr>
          <w:rFonts w:eastAsia="Times New Roman" w:cs="Times New Roman"/>
          <w:kern w:val="2"/>
        </w:rPr>
        <w:t>Bieżąca współpraca z Instytucją Zarządzającą programem regionalnym Fundusze Europejskie dla Kujaw i Pomorza 2021-2027 w zakresie ogółu spraw związanych z realizacją ustaleń strategii dla partnerstwa.</w:t>
      </w:r>
    </w:p>
    <w:p>
      <w:pPr>
        <w:pStyle w:val="Normal"/>
        <w:numPr>
          <w:ilvl w:val="0"/>
          <w:numId w:val="13"/>
        </w:numPr>
        <w:spacing w:lineRule="auto" w:line="276" w:before="0" w:after="160"/>
        <w:contextualSpacing/>
        <w:jc w:val="both"/>
        <w:rPr>
          <w:rFonts w:eastAsia="Times New Roman" w:cs="Times New Roman"/>
          <w:kern w:val="2"/>
        </w:rPr>
      </w:pPr>
      <w:r>
        <w:rPr>
          <w:rFonts w:eastAsia="Times New Roman" w:cs="Times New Roman"/>
          <w:kern w:val="2"/>
        </w:rPr>
        <w:t>Bieżąca współpraca z beneficjentami projektów ujętych w strategii w celu optymalizacji procesu ich realizacji.</w:t>
      </w:r>
    </w:p>
    <w:p>
      <w:pPr>
        <w:pStyle w:val="Normal"/>
        <w:numPr>
          <w:ilvl w:val="0"/>
          <w:numId w:val="13"/>
        </w:numPr>
        <w:spacing w:lineRule="auto" w:line="276" w:before="0" w:after="160"/>
        <w:contextualSpacing/>
        <w:jc w:val="both"/>
        <w:rPr>
          <w:rFonts w:eastAsia="Times New Roman" w:cs="Times New Roman"/>
          <w:kern w:val="2"/>
        </w:rPr>
      </w:pPr>
      <w:r>
        <w:rPr>
          <w:rFonts w:eastAsia="Times New Roman" w:cs="Times New Roman"/>
          <w:kern w:val="2"/>
        </w:rPr>
        <w:t xml:space="preserve">Bieżąca współpraca z interesariuszami procesu kształtowania rozwoju danego partnerstwa </w:t>
        <w:br/>
        <w:t>– w celu przekazywania informacji na temat postępów realizacji ustaleń strategii oraz zbierania opinii i sugestii na rzecz jego usprawnienia.</w:t>
      </w:r>
    </w:p>
    <w:p>
      <w:pPr>
        <w:pStyle w:val="Normal"/>
        <w:numPr>
          <w:ilvl w:val="0"/>
          <w:numId w:val="13"/>
        </w:numPr>
        <w:spacing w:lineRule="auto" w:line="276" w:before="0" w:after="160"/>
        <w:contextualSpacing/>
        <w:jc w:val="both"/>
        <w:rPr>
          <w:rFonts w:eastAsia="Times New Roman" w:cs="Times New Roman"/>
          <w:kern w:val="2"/>
        </w:rPr>
      </w:pPr>
      <w:r>
        <w:rPr>
          <w:rFonts w:eastAsia="Times New Roman" w:cs="Times New Roman"/>
          <w:kern w:val="2"/>
        </w:rPr>
        <w:t>Monitorowanie realizacji ustaleń strategii – w tym przygotowywanie corocznego „Raportu</w:t>
        <w:br/>
        <w:t xml:space="preserve"> z realizacji strategii terytorialnej dla Miejskiego Obszaru Funkcjonalnego Włocławka”. </w:t>
      </w:r>
    </w:p>
    <w:p>
      <w:pPr>
        <w:pStyle w:val="Normal"/>
        <w:numPr>
          <w:ilvl w:val="0"/>
          <w:numId w:val="13"/>
        </w:numPr>
        <w:spacing w:lineRule="auto" w:line="276" w:before="0" w:after="160"/>
        <w:contextualSpacing/>
        <w:jc w:val="both"/>
        <w:rPr>
          <w:rFonts w:eastAsia="Times New Roman" w:cs="Times New Roman"/>
          <w:kern w:val="2"/>
        </w:rPr>
      </w:pPr>
      <w:r>
        <w:rPr>
          <w:rFonts w:eastAsia="Times New Roman" w:cs="Times New Roman"/>
          <w:kern w:val="2"/>
        </w:rPr>
        <w:t>Prowadzenie strony www partnerstwa.</w:t>
      </w:r>
    </w:p>
    <w:p>
      <w:pPr>
        <w:pStyle w:val="Normal"/>
        <w:numPr>
          <w:ilvl w:val="0"/>
          <w:numId w:val="13"/>
        </w:numPr>
        <w:spacing w:lineRule="auto" w:line="276" w:before="0" w:after="160"/>
        <w:contextualSpacing/>
        <w:jc w:val="both"/>
        <w:rPr>
          <w:rFonts w:eastAsia="Times New Roman" w:cs="Times New Roman"/>
          <w:kern w:val="2"/>
        </w:rPr>
      </w:pPr>
      <w:r>
        <w:rPr>
          <w:rFonts w:eastAsia="Times New Roman" w:cs="Times New Roman"/>
          <w:kern w:val="2"/>
        </w:rPr>
        <w:t>Inicjowanie działań w kierunku aktualizacji strategii, jeśli zajdzie taka konieczność.</w:t>
      </w:r>
    </w:p>
    <w:p>
      <w:pPr>
        <w:pStyle w:val="Normal"/>
        <w:spacing w:lineRule="auto" w:line="276"/>
        <w:jc w:val="both"/>
        <w:rPr/>
      </w:pPr>
      <w:r>
        <w:rPr/>
      </w:r>
    </w:p>
    <w:p>
      <w:pPr>
        <w:pStyle w:val="Normal"/>
        <w:spacing w:lineRule="auto" w:line="276" w:before="0" w:after="0"/>
        <w:jc w:val="both"/>
        <w:rPr>
          <w:rFonts w:cs="Calibri" w:cstheme="minorHAnsi"/>
        </w:rPr>
      </w:pPr>
      <w:r>
        <w:rPr>
          <w:rFonts w:cs="Calibri" w:cstheme="minorHAnsi"/>
        </w:rPr>
        <w:t xml:space="preserve">Na poziomie wdrażania Strategii terytorialnej zakłada się prowadzenie polityki informacyjnej w formie publicznego przekazu informacji przez strony internetowe wszystkich tworzących MOF Włocławek </w:t>
        <w:br/>
        <w:t>oraz na stronie Stowarzyszenia WŁOF.</w:t>
      </w:r>
    </w:p>
    <w:p>
      <w:pPr>
        <w:pStyle w:val="Normal"/>
        <w:rPr/>
      </w:pPr>
      <w:r>
        <w:rPr/>
      </w:r>
    </w:p>
    <w:p>
      <w:pPr>
        <w:pStyle w:val="Normal"/>
        <w:rPr/>
      </w:pPr>
      <w:r>
        <w:rPr/>
      </w:r>
    </w:p>
    <w:p>
      <w:pPr>
        <w:pStyle w:val="Normal"/>
        <w:spacing w:lineRule="auto" w:line="240" w:before="0" w:after="0"/>
        <w:rPr>
          <w:rFonts w:ascii="Calibri" w:hAnsi="Calibri" w:eastAsia="Times New Roman" w:cs="Calibri"/>
          <w:color w:val="000000"/>
          <w:lang w:eastAsia="pl-PL"/>
        </w:rPr>
      </w:pPr>
      <w:r>
        <w:rPr>
          <w:rFonts w:eastAsia="Times New Roman" w:cs="Calibri"/>
          <w:color w:val="000000"/>
          <w:lang w:eastAsia="pl-PL"/>
        </w:rPr>
        <w:t> </w:t>
      </w:r>
    </w:p>
    <w:p>
      <w:pPr>
        <w:pStyle w:val="Normal"/>
        <w:spacing w:lineRule="auto" w:line="240" w:before="0" w:after="0"/>
        <w:rPr>
          <w:rFonts w:ascii="Calibri" w:hAnsi="Calibri" w:eastAsia="Times New Roman" w:cs="Calibri"/>
          <w:b/>
          <w:bCs/>
          <w:color w:val="000000"/>
          <w:lang w:eastAsia="pl-PL"/>
        </w:rPr>
      </w:pPr>
      <w:r>
        <w:rPr>
          <w:rFonts w:eastAsia="Times New Roman" w:cs="Calibri"/>
          <w:b/>
          <w:bCs/>
          <w:color w:val="000000"/>
          <w:lang w:eastAsia="pl-PL"/>
        </w:rPr>
      </w:r>
    </w:p>
    <w:p>
      <w:pPr>
        <w:sectPr>
          <w:headerReference w:type="default" r:id="rId45"/>
          <w:headerReference w:type="first" r:id="rId46"/>
          <w:footerReference w:type="default" r:id="rId47"/>
          <w:footerReference w:type="first" r:id="rId48"/>
          <w:footnotePr>
            <w:numFmt w:val="decimal"/>
          </w:footnotePr>
          <w:type w:val="nextPage"/>
          <w:pgSz w:w="11906" w:h="16838"/>
          <w:pgMar w:left="1418" w:right="1418" w:gutter="0" w:header="283" w:top="1559" w:footer="227" w:bottom="1134"/>
          <w:pgNumType w:fmt="decimal"/>
          <w:formProt w:val="false"/>
          <w:textDirection w:val="lrTb"/>
          <w:docGrid w:type="default" w:linePitch="360" w:charSpace="4096"/>
        </w:sectPr>
        <w:pStyle w:val="Normal"/>
        <w:spacing w:lineRule="auto" w:line="240" w:before="0" w:after="0"/>
        <w:rPr>
          <w:rFonts w:ascii="Calibri" w:hAnsi="Calibri" w:eastAsia="Times New Roman" w:cs="Calibri"/>
          <w:b/>
          <w:bCs/>
          <w:color w:val="000000"/>
          <w:lang w:eastAsia="pl-PL"/>
        </w:rPr>
      </w:pPr>
      <w:r>
        <w:rPr>
          <w:rFonts w:eastAsia="Times New Roman" w:cs="Calibri"/>
          <w:b/>
          <w:bCs/>
          <w:color w:val="000000"/>
          <w:lang w:eastAsia="pl-PL"/>
        </w:rPr>
      </w:r>
    </w:p>
    <w:tbl>
      <w:tblPr>
        <w:tblW w:w="15510"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5510"/>
      </w:tblGrid>
      <w:tr>
        <w:trPr>
          <w:trHeight w:val="8955" w:hRule="atLeast"/>
        </w:trPr>
        <w:tc>
          <w:tcPr>
            <w:tcW w:w="15510" w:type="dxa"/>
            <w:tcBorders>
              <w:bottom w:val="single" w:sz="4" w:space="0" w:color="000000"/>
            </w:tcBorders>
            <w:shd w:color="auto" w:fill="auto" w:val="clear"/>
            <w:vAlign w:val="bottom"/>
          </w:tcPr>
          <w:p>
            <w:pPr>
              <w:pStyle w:val="Normal"/>
              <w:widowControl w:val="false"/>
              <w:spacing w:lineRule="auto" w:line="240" w:before="0" w:after="0"/>
              <w:rPr>
                <w:rFonts w:ascii="Calibri" w:hAnsi="Calibri" w:eastAsia="Times New Roman" w:cs="Calibri"/>
                <w:b/>
                <w:bCs/>
                <w:color w:val="000000"/>
                <w:lang w:eastAsia="pl-PL"/>
              </w:rPr>
            </w:pPr>
            <w:r>
              <w:rPr>
                <w:rFonts w:eastAsia="Times New Roman" w:cs="Calibri"/>
                <w:b/>
                <w:bCs/>
                <w:color w:val="000000"/>
                <w:lang w:eastAsia="pl-PL"/>
              </w:rPr>
              <w:t>Z</w:t>
            </w:r>
            <w:bookmarkStart w:id="217" w:name="_Hlk136332721"/>
            <w:r>
              <w:rPr>
                <w:rFonts w:eastAsia="Times New Roman" w:cs="Calibri"/>
                <w:b/>
                <w:bCs/>
                <w:color w:val="000000"/>
                <w:lang w:eastAsia="pl-PL"/>
              </w:rPr>
              <w:t>ałącznik 1. Harmonogram wdrożeniowy dla realizacji strategii</w:t>
            </w:r>
            <w:bookmarkEnd w:id="217"/>
          </w:p>
          <w:p>
            <w:pPr>
              <w:pStyle w:val="Normal"/>
              <w:widowControl w:val="false"/>
              <w:spacing w:lineRule="auto" w:line="240" w:before="0" w:after="0"/>
              <w:rPr>
                <w:rFonts w:ascii="Calibri" w:hAnsi="Calibri" w:eastAsia="Times New Roman" w:cs="Calibri"/>
                <w:b/>
                <w:bCs/>
                <w:color w:val="000000"/>
                <w:lang w:eastAsia="pl-PL"/>
              </w:rPr>
            </w:pPr>
            <w:r>
              <w:rPr>
                <w:rFonts w:eastAsia="Times New Roman" w:cs="Calibri"/>
                <w:b/>
                <w:bCs/>
                <w:color w:val="000000"/>
                <w:lang w:eastAsia="pl-PL"/>
              </w:rPr>
            </w:r>
          </w:p>
          <w:tbl>
            <w:tblPr>
              <w:tblStyle w:val="Tabela-Siatka"/>
              <w:tblW w:w="15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68"/>
              <w:gridCol w:w="1513"/>
              <w:gridCol w:w="785"/>
              <w:gridCol w:w="316"/>
              <w:gridCol w:w="404"/>
              <w:gridCol w:w="420"/>
              <w:gridCol w:w="421"/>
              <w:gridCol w:w="405"/>
              <w:gridCol w:w="404"/>
              <w:gridCol w:w="406"/>
              <w:gridCol w:w="405"/>
              <w:gridCol w:w="344"/>
              <w:gridCol w:w="406"/>
              <w:gridCol w:w="405"/>
              <w:gridCol w:w="404"/>
              <w:gridCol w:w="360"/>
              <w:gridCol w:w="436"/>
              <w:gridCol w:w="404"/>
              <w:gridCol w:w="405"/>
              <w:gridCol w:w="316"/>
              <w:gridCol w:w="404"/>
              <w:gridCol w:w="393"/>
              <w:gridCol w:w="404"/>
              <w:gridCol w:w="345"/>
              <w:gridCol w:w="406"/>
              <w:gridCol w:w="391"/>
              <w:gridCol w:w="419"/>
              <w:gridCol w:w="330"/>
              <w:gridCol w:w="406"/>
              <w:gridCol w:w="404"/>
              <w:gridCol w:w="409"/>
            </w:tblGrid>
            <w:tr>
              <w:trPr/>
              <w:tc>
                <w:tcPr>
                  <w:tcW w:w="3281" w:type="dxa"/>
                  <w:gridSpan w:val="2"/>
                  <w:tcBorders>
                    <w:top w:val="nil"/>
                    <w:left w:val="nil"/>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785" w:type="dxa"/>
                  <w:tcBorders>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2022</w:t>
                  </w:r>
                </w:p>
              </w:tc>
              <w:tc>
                <w:tcPr>
                  <w:tcW w:w="1561" w:type="dxa"/>
                  <w:gridSpan w:val="4"/>
                  <w:tcBorders>
                    <w:left w:val="nil"/>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2023</w:t>
                  </w:r>
                </w:p>
              </w:tc>
              <w:tc>
                <w:tcPr>
                  <w:tcW w:w="1620" w:type="dxa"/>
                  <w:gridSpan w:val="4"/>
                  <w:tcBorders>
                    <w:left w:val="nil"/>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2024</w:t>
                  </w:r>
                </w:p>
              </w:tc>
              <w:tc>
                <w:tcPr>
                  <w:tcW w:w="1559" w:type="dxa"/>
                  <w:gridSpan w:val="4"/>
                  <w:tcBorders>
                    <w:left w:val="nil"/>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2025</w:t>
                  </w:r>
                </w:p>
              </w:tc>
              <w:tc>
                <w:tcPr>
                  <w:tcW w:w="1605" w:type="dxa"/>
                  <w:gridSpan w:val="4"/>
                  <w:tcBorders>
                    <w:left w:val="nil"/>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2026</w:t>
                  </w:r>
                </w:p>
              </w:tc>
              <w:tc>
                <w:tcPr>
                  <w:tcW w:w="1517" w:type="dxa"/>
                  <w:gridSpan w:val="4"/>
                  <w:tcBorders>
                    <w:left w:val="nil"/>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2027</w:t>
                  </w:r>
                </w:p>
              </w:tc>
              <w:tc>
                <w:tcPr>
                  <w:tcW w:w="1561" w:type="dxa"/>
                  <w:gridSpan w:val="4"/>
                  <w:tcBorders>
                    <w:left w:val="nil"/>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2028</w:t>
                  </w:r>
                </w:p>
              </w:tc>
              <w:tc>
                <w:tcPr>
                  <w:tcW w:w="1549" w:type="dxa"/>
                  <w:gridSpan w:val="4"/>
                  <w:tcBorders>
                    <w:left w:val="nil"/>
                    <w:bottom w:val="nil"/>
                  </w:tcBorders>
                  <w:shd w:color="auto" w:fill="8DB3E2" w:themeFill="text2" w:themeFillTint="66" w:val="clear"/>
                  <w:vAlign w:val="bottom"/>
                </w:tcPr>
                <w:p>
                  <w:pPr>
                    <w:pStyle w:val="Normal"/>
                    <w:widowControl/>
                    <w:spacing w:lineRule="auto" w:line="240" w:before="0" w:after="0"/>
                    <w:jc w:val="center"/>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t>2029</w:t>
                  </w:r>
                </w:p>
              </w:tc>
            </w:tr>
            <w:tr>
              <w:trPr/>
              <w:tc>
                <w:tcPr>
                  <w:tcW w:w="1768" w:type="dxa"/>
                  <w:tcBorders>
                    <w:left w:val="single" w:sz="8" w:space="0" w:color="000000"/>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Jednostka odpowiedzialna za realizację zadania</w:t>
                  </w:r>
                </w:p>
              </w:tc>
              <w:tc>
                <w:tcPr>
                  <w:tcW w:w="1513" w:type="dxa"/>
                  <w:tcBorders>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Zadanie</w:t>
                  </w:r>
                </w:p>
              </w:tc>
              <w:tc>
                <w:tcPr>
                  <w:tcW w:w="785"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c>
                <w:tcPr>
                  <w:tcW w:w="316"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w:t>
                  </w:r>
                </w:p>
              </w:tc>
              <w:tc>
                <w:tcPr>
                  <w:tcW w:w="40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w:t>
                  </w:r>
                </w:p>
              </w:tc>
              <w:tc>
                <w:tcPr>
                  <w:tcW w:w="420"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III</w:t>
                  </w:r>
                </w:p>
              </w:tc>
              <w:tc>
                <w:tcPr>
                  <w:tcW w:w="421"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c>
                <w:tcPr>
                  <w:tcW w:w="405"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w:t>
                  </w:r>
                </w:p>
              </w:tc>
              <w:tc>
                <w:tcPr>
                  <w:tcW w:w="40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w:t>
                  </w:r>
                </w:p>
              </w:tc>
              <w:tc>
                <w:tcPr>
                  <w:tcW w:w="406"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III</w:t>
                  </w:r>
                </w:p>
              </w:tc>
              <w:tc>
                <w:tcPr>
                  <w:tcW w:w="405"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c>
                <w:tcPr>
                  <w:tcW w:w="34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w:t>
                  </w:r>
                </w:p>
              </w:tc>
              <w:tc>
                <w:tcPr>
                  <w:tcW w:w="406"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w:t>
                  </w:r>
                </w:p>
              </w:tc>
              <w:tc>
                <w:tcPr>
                  <w:tcW w:w="405"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III</w:t>
                  </w:r>
                </w:p>
              </w:tc>
              <w:tc>
                <w:tcPr>
                  <w:tcW w:w="40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c>
                <w:tcPr>
                  <w:tcW w:w="360"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w:t>
                  </w:r>
                </w:p>
              </w:tc>
              <w:tc>
                <w:tcPr>
                  <w:tcW w:w="436"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w:t>
                  </w:r>
                </w:p>
              </w:tc>
              <w:tc>
                <w:tcPr>
                  <w:tcW w:w="40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III</w:t>
                  </w:r>
                </w:p>
              </w:tc>
              <w:tc>
                <w:tcPr>
                  <w:tcW w:w="405"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c>
                <w:tcPr>
                  <w:tcW w:w="316"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w:t>
                  </w:r>
                </w:p>
              </w:tc>
              <w:tc>
                <w:tcPr>
                  <w:tcW w:w="40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w:t>
                  </w:r>
                </w:p>
              </w:tc>
              <w:tc>
                <w:tcPr>
                  <w:tcW w:w="393"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III</w:t>
                  </w:r>
                </w:p>
              </w:tc>
              <w:tc>
                <w:tcPr>
                  <w:tcW w:w="40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c>
                <w:tcPr>
                  <w:tcW w:w="345"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w:t>
                  </w:r>
                </w:p>
              </w:tc>
              <w:tc>
                <w:tcPr>
                  <w:tcW w:w="406"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w:t>
                  </w:r>
                </w:p>
              </w:tc>
              <w:tc>
                <w:tcPr>
                  <w:tcW w:w="391"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III</w:t>
                  </w:r>
                </w:p>
              </w:tc>
              <w:tc>
                <w:tcPr>
                  <w:tcW w:w="419"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c>
                <w:tcPr>
                  <w:tcW w:w="330"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w:t>
                  </w:r>
                </w:p>
              </w:tc>
              <w:tc>
                <w:tcPr>
                  <w:tcW w:w="406"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w:t>
                  </w:r>
                </w:p>
              </w:tc>
              <w:tc>
                <w:tcPr>
                  <w:tcW w:w="404" w:type="dxa"/>
                  <w:tcBorders>
                    <w:top w:val="single" w:sz="8" w:space="0" w:color="000000"/>
                    <w:left w:val="nil"/>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III</w:t>
                  </w:r>
                </w:p>
              </w:tc>
              <w:tc>
                <w:tcPr>
                  <w:tcW w:w="409" w:type="dxa"/>
                  <w:tcBorders>
                    <w:top w:val="single" w:sz="8" w:space="0" w:color="000000"/>
                    <w:left w:val="nil"/>
                    <w:right w:val="single" w:sz="8" w:space="0" w:color="000000"/>
                  </w:tcBorders>
                  <w:shd w:color="auto" w:fill="548DD4" w:themeFill="text2" w:themeFillTint="99" w:val="clear"/>
                  <w:vAlign w:val="center"/>
                </w:tcPr>
                <w:p>
                  <w:pPr>
                    <w:pStyle w:val="Normal"/>
                    <w:widowControl/>
                    <w:spacing w:lineRule="auto" w:line="240" w:before="0" w:after="0"/>
                    <w:jc w:val="center"/>
                    <w:rPr>
                      <w:rFonts w:ascii="Calibri" w:hAnsi="Calibri" w:eastAsia="Times New Roman" w:cs="Calibri"/>
                      <w:b/>
                      <w:bCs/>
                      <w:lang w:eastAsia="pl-PL"/>
                    </w:rPr>
                  </w:pPr>
                  <w:r>
                    <w:rPr>
                      <w:rFonts w:eastAsia="Times New Roman" w:cs="Calibri"/>
                      <w:b/>
                      <w:bCs/>
                      <w:i/>
                      <w:iCs/>
                      <w:kern w:val="0"/>
                      <w:sz w:val="22"/>
                      <w:szCs w:val="22"/>
                      <w:lang w:val="pl-PL" w:eastAsia="pl-PL" w:bidi="ar-SA"/>
                    </w:rPr>
                    <w:t>IV</w:t>
                  </w:r>
                </w:p>
              </w:tc>
            </w:tr>
            <w:tr>
              <w:trPr>
                <w:trHeight w:val="1882" w:hRule="atLeast"/>
              </w:trPr>
              <w:tc>
                <w:tcPr>
                  <w:tcW w:w="1768" w:type="dxa"/>
                  <w:tcBorders>
                    <w:top w:val="nil"/>
                    <w:left w:val="single" w:sz="8" w:space="0" w:color="000000"/>
                  </w:tcBorders>
                  <w:shd w:color="auto" w:fill="auto" w:val="clear"/>
                  <w:vAlign w:val="center"/>
                </w:tcPr>
                <w:p>
                  <w:pPr>
                    <w:pStyle w:val="Normal"/>
                    <w:widowControl/>
                    <w:spacing w:lineRule="auto" w:line="240" w:before="0" w:after="0"/>
                    <w:jc w:val="left"/>
                    <w:rPr>
                      <w:rFonts w:ascii="Calibri" w:hAnsi="Calibri" w:eastAsia="Times New Roman" w:cs="Calibri"/>
                      <w:b/>
                      <w:bCs/>
                      <w:color w:val="000000"/>
                      <w:sz w:val="20"/>
                      <w:szCs w:val="20"/>
                      <w:lang w:eastAsia="pl-PL"/>
                    </w:rPr>
                  </w:pPr>
                  <w:r>
                    <w:rPr>
                      <w:rFonts w:eastAsia="Times New Roman" w:cs="Calibri"/>
                      <w:color w:val="000000"/>
                      <w:kern w:val="0"/>
                      <w:sz w:val="20"/>
                      <w:szCs w:val="20"/>
                      <w:lang w:val="pl-PL" w:eastAsia="pl-PL" w:bidi="ar-SA"/>
                    </w:rPr>
                    <w:t>Stowarzyszenie WŁOF – Zintegrowane Inwestycje Terytorialne Miejskiego Obszaru Funkcjonalnego Włocławka</w:t>
                  </w:r>
                  <w:r>
                    <w:rPr>
                      <w:rFonts w:eastAsia="Times New Roman" w:cs="Calibri"/>
                      <w:b/>
                      <w:bCs/>
                      <w:i/>
                      <w:iCs/>
                      <w:color w:val="FFFFFF"/>
                      <w:kern w:val="0"/>
                      <w:sz w:val="20"/>
                      <w:szCs w:val="20"/>
                      <w:lang w:val="pl-PL" w:eastAsia="pl-PL" w:bidi="ar-SA"/>
                    </w:rPr>
                    <w:t> </w:t>
                  </w:r>
                </w:p>
              </w:tc>
              <w:tc>
                <w:tcPr>
                  <w:tcW w:w="1513" w:type="dxa"/>
                  <w:tcBorders>
                    <w:top w:val="nil"/>
                    <w:left w:val="nil"/>
                  </w:tcBorders>
                  <w:shd w:color="auto" w:fill="auto" w:val="clear"/>
                  <w:vAlign w:val="center"/>
                </w:tcPr>
                <w:p>
                  <w:pPr>
                    <w:pStyle w:val="Normal"/>
                    <w:widowControl/>
                    <w:spacing w:lineRule="auto" w:line="240" w:before="0" w:after="0"/>
                    <w:jc w:val="left"/>
                    <w:rPr>
                      <w:rFonts w:ascii="Calibri" w:hAnsi="Calibri" w:eastAsia="Times New Roman" w:cs="Calibri"/>
                      <w:b/>
                      <w:bCs/>
                      <w:color w:val="000000"/>
                      <w:sz w:val="20"/>
                      <w:szCs w:val="20"/>
                      <w:lang w:eastAsia="pl-PL"/>
                    </w:rPr>
                  </w:pPr>
                  <w:r>
                    <w:rPr>
                      <w:rFonts w:eastAsia="Times New Roman" w:cs="Calibri"/>
                      <w:color w:val="000000"/>
                      <w:kern w:val="0"/>
                      <w:sz w:val="20"/>
                      <w:szCs w:val="20"/>
                      <w:lang w:val="pl-PL" w:eastAsia="pl-PL" w:bidi="ar-SA"/>
                    </w:rPr>
                    <w:t>Zawiązanie się partnerstwa</w:t>
                  </w:r>
                </w:p>
              </w:tc>
              <w:tc>
                <w:tcPr>
                  <w:tcW w:w="785" w:type="dxa"/>
                  <w:tcBorders>
                    <w:top w:val="nil"/>
                    <w:left w:val="nil"/>
                  </w:tcBorders>
                  <w:shd w:color="auto" w:fill="8DB3E2" w:themeFill="text2" w:themeFillTint="66" w:val="clear"/>
                  <w:vAlign w:val="center"/>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i/>
                      <w:iCs/>
                      <w:color w:val="FFFFFF"/>
                      <w:kern w:val="0"/>
                      <w:sz w:val="22"/>
                      <w:szCs w:val="22"/>
                      <w:lang w:val="pl-PL" w:eastAsia="pl-PL" w:bidi="ar-SA"/>
                    </w:rPr>
                    <w:t> </w:t>
                  </w:r>
                </w:p>
              </w:tc>
              <w:tc>
                <w:tcPr>
                  <w:tcW w:w="31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2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21"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6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3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1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3"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1"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1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3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r>
            <w:tr>
              <w:trPr/>
              <w:tc>
                <w:tcPr>
                  <w:tcW w:w="1768" w:type="dxa"/>
                  <w:tcBorders>
                    <w:top w:val="nil"/>
                    <w:left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sz w:val="20"/>
                      <w:szCs w:val="20"/>
                      <w:lang w:eastAsia="pl-PL"/>
                    </w:rPr>
                  </w:pPr>
                  <w:r>
                    <w:rPr>
                      <w:rFonts w:eastAsia="Times New Roman" w:cs="Calibri"/>
                      <w:color w:val="000000"/>
                      <w:kern w:val="0"/>
                      <w:sz w:val="20"/>
                      <w:szCs w:val="20"/>
                      <w:lang w:val="pl-PL" w:eastAsia="pl-PL" w:bidi="ar-SA"/>
                    </w:rPr>
                    <w:t>Stowarzyszenie WŁOF – Zintegrowane Inwestycje Terytorialne Miejskiego Obszaru Funkcjonalnego Włocławka</w:t>
                  </w:r>
                </w:p>
              </w:tc>
              <w:tc>
                <w:tcPr>
                  <w:tcW w:w="1513" w:type="dxa"/>
                  <w:tcBorders>
                    <w:top w:val="nil"/>
                    <w:left w:val="nil"/>
                  </w:tcBorders>
                  <w:shd w:color="auto" w:fill="auto" w:val="clear"/>
                  <w:vAlign w:val="center"/>
                </w:tcPr>
                <w:p>
                  <w:pPr>
                    <w:pStyle w:val="Normal"/>
                    <w:widowControl/>
                    <w:spacing w:lineRule="auto" w:line="240" w:before="0" w:after="0"/>
                    <w:jc w:val="left"/>
                    <w:rPr>
                      <w:rFonts w:ascii="Calibri" w:hAnsi="Calibri" w:eastAsia="Times New Roman" w:cs="Calibri"/>
                      <w:b/>
                      <w:bCs/>
                      <w:color w:val="000000"/>
                      <w:sz w:val="20"/>
                      <w:szCs w:val="20"/>
                      <w:lang w:eastAsia="pl-PL"/>
                    </w:rPr>
                  </w:pPr>
                  <w:r>
                    <w:rPr>
                      <w:rFonts w:eastAsia="Times New Roman" w:cs="Calibri"/>
                      <w:color w:val="000000"/>
                      <w:kern w:val="0"/>
                      <w:sz w:val="20"/>
                      <w:szCs w:val="20"/>
                      <w:lang w:val="pl-PL" w:eastAsia="pl-PL" w:bidi="ar-SA"/>
                    </w:rPr>
                    <w:t>Zatwierdzenie strategii wraz z listą projektów przez partnerstwo</w:t>
                  </w:r>
                </w:p>
              </w:tc>
              <w:tc>
                <w:tcPr>
                  <w:tcW w:w="785" w:type="dxa"/>
                  <w:tcBorders>
                    <w:top w:val="nil"/>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16" w:type="dxa"/>
                  <w:tcBorders>
                    <w:top w:val="nil"/>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top w:val="nil"/>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20" w:type="dxa"/>
                  <w:tcBorders>
                    <w:top w:val="nil"/>
                    <w:left w:val="nil"/>
                    <w:right w:val="nil"/>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21"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6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3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1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3"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1"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1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3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r>
            <w:tr>
              <w:trPr/>
              <w:tc>
                <w:tcPr>
                  <w:tcW w:w="1768" w:type="dxa"/>
                  <w:tcBorders>
                    <w:left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t>Instytucja Zarządzająca FEdKP</w:t>
                  </w:r>
                </w:p>
                <w:p>
                  <w:pPr>
                    <w:pStyle w:val="Normal"/>
                    <w:widowControl/>
                    <w:spacing w:lineRule="auto" w:line="240" w:before="0" w:after="0"/>
                    <w:jc w:val="left"/>
                    <w:rPr>
                      <w:rFonts w:ascii="Calibri" w:hAnsi="Calibri" w:eastAsia="Times New Roman" w:cs="Calibri"/>
                      <w:b/>
                      <w:bCs/>
                      <w:color w:val="000000"/>
                      <w:sz w:val="20"/>
                      <w:szCs w:val="20"/>
                      <w:lang w:eastAsia="pl-PL"/>
                    </w:rPr>
                  </w:pPr>
                  <w:r>
                    <w:rPr>
                      <w:rFonts w:eastAsia="Times New Roman" w:cs="Calibri"/>
                      <w:b/>
                      <w:bCs/>
                      <w:color w:val="000000"/>
                      <w:kern w:val="0"/>
                      <w:sz w:val="20"/>
                      <w:szCs w:val="20"/>
                      <w:lang w:val="pl-PL" w:eastAsia="pl-PL" w:bidi="ar-SA"/>
                    </w:rPr>
                  </w:r>
                </w:p>
              </w:tc>
              <w:tc>
                <w:tcPr>
                  <w:tcW w:w="1513" w:type="dxa"/>
                  <w:tcBorders>
                    <w:left w:val="nil"/>
                  </w:tcBorders>
                  <w:shd w:color="auto" w:fill="auto" w:val="clear"/>
                  <w:vAlign w:val="center"/>
                </w:tcPr>
                <w:p>
                  <w:pPr>
                    <w:pStyle w:val="Normal"/>
                    <w:widowControl/>
                    <w:spacing w:lineRule="auto" w:line="240" w:before="0" w:after="0"/>
                    <w:jc w:val="left"/>
                    <w:rPr>
                      <w:rFonts w:ascii="Calibri" w:hAnsi="Calibri" w:eastAsia="Times New Roman" w:cs="Calibri"/>
                      <w:b/>
                      <w:bCs/>
                      <w:color w:val="000000"/>
                      <w:sz w:val="20"/>
                      <w:szCs w:val="20"/>
                      <w:lang w:eastAsia="pl-PL"/>
                    </w:rPr>
                  </w:pPr>
                  <w:r>
                    <w:rPr>
                      <w:rFonts w:eastAsia="Times New Roman" w:cs="Calibri"/>
                      <w:color w:val="000000"/>
                      <w:kern w:val="0"/>
                      <w:sz w:val="20"/>
                      <w:szCs w:val="20"/>
                      <w:lang w:val="pl-PL" w:eastAsia="pl-PL" w:bidi="ar-SA"/>
                    </w:rPr>
                    <w:t>Zaopiniowanie dokumentu przez IZ FEdKP</w:t>
                  </w:r>
                </w:p>
              </w:tc>
              <w:tc>
                <w:tcPr>
                  <w:tcW w:w="785"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16"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20" w:type="dxa"/>
                  <w:tcBorders>
                    <w:left w:val="nil"/>
                    <w:right w:val="nil"/>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21"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6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3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1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3"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1"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1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3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r>
            <w:tr>
              <w:trPr/>
              <w:tc>
                <w:tcPr>
                  <w:tcW w:w="1768" w:type="dxa"/>
                  <w:tcBorders/>
                  <w:shd w:color="auto" w:fill="auto" w:val="clear"/>
                  <w:vAlign w:val="bottom"/>
                </w:tcPr>
                <w:p>
                  <w:pPr>
                    <w:pStyle w:val="Normal"/>
                    <w:widowControl/>
                    <w:spacing w:lineRule="auto" w:line="240" w:before="0" w:after="0"/>
                    <w:jc w:val="left"/>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t>Instytucja Zarządzająca FEdKP</w:t>
                  </w:r>
                </w:p>
                <w:p>
                  <w:pPr>
                    <w:pStyle w:val="Normal"/>
                    <w:widowControl/>
                    <w:spacing w:lineRule="auto" w:line="240" w:before="0" w:after="0"/>
                    <w:jc w:val="left"/>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tc>
              <w:tc>
                <w:tcPr>
                  <w:tcW w:w="1513" w:type="dxa"/>
                  <w:tcBorders/>
                  <w:shd w:color="auto" w:fill="auto" w:val="clear"/>
                  <w:vAlign w:val="center"/>
                </w:tcPr>
                <w:p>
                  <w:pPr>
                    <w:pStyle w:val="Normal"/>
                    <w:widowControl/>
                    <w:spacing w:lineRule="auto" w:line="240" w:before="0" w:after="0"/>
                    <w:jc w:val="left"/>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t>Podpisanie kontraktu regionalnego</w:t>
                  </w:r>
                </w:p>
                <w:p>
                  <w:pPr>
                    <w:pStyle w:val="Normal"/>
                    <w:widowControl/>
                    <w:spacing w:lineRule="auto" w:line="240" w:before="0" w:after="0"/>
                    <w:jc w:val="left"/>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tc>
              <w:tc>
                <w:tcPr>
                  <w:tcW w:w="785" w:type="dxa"/>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316" w:type="dxa"/>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04" w:type="dxa"/>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20" w:type="dxa"/>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21" w:type="dxa"/>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6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3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1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3"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45"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91"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1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330"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6"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4"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c>
                <w:tcPr>
                  <w:tcW w:w="409" w:type="dxa"/>
                  <w:tcBorders/>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b/>
                      <w:bCs/>
                      <w:color w:val="000000"/>
                      <w:kern w:val="0"/>
                      <w:sz w:val="22"/>
                      <w:szCs w:val="22"/>
                      <w:lang w:val="pl-PL" w:eastAsia="pl-PL" w:bidi="ar-SA"/>
                    </w:rPr>
                  </w:r>
                </w:p>
              </w:tc>
            </w:tr>
            <w:tr>
              <w:trPr/>
              <w:tc>
                <w:tcPr>
                  <w:tcW w:w="1768" w:type="dxa"/>
                  <w:tcBorders>
                    <w:left w:val="single" w:sz="8" w:space="0" w:color="000000"/>
                  </w:tcBorders>
                  <w:shd w:color="auto" w:fill="auto" w:val="clear"/>
                  <w:vAlign w:val="bottom"/>
                </w:tcPr>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t>Jednostki samorządu terytorialnego MOF Włocławek</w:t>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tc>
              <w:tc>
                <w:tcPr>
                  <w:tcW w:w="1513" w:type="dxa"/>
                  <w:tcBorders>
                    <w:left w:val="nil"/>
                  </w:tcBorders>
                  <w:shd w:color="auto" w:fill="auto" w:val="clear"/>
                  <w:vAlign w:val="center"/>
                </w:tcPr>
                <w:p>
                  <w:pPr>
                    <w:pStyle w:val="Normal"/>
                    <w:widowControl/>
                    <w:spacing w:lineRule="auto" w:line="240" w:before="0" w:after="0"/>
                    <w:jc w:val="left"/>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t>Określenie terminów aplikowania o środki w ramach FEdKP przy uwzględnieniu harmonogramu naboru wniosków dla FEdKP</w:t>
                  </w:r>
                </w:p>
              </w:tc>
              <w:tc>
                <w:tcPr>
                  <w:tcW w:w="785"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316"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04"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20" w:type="dxa"/>
                  <w:tcBorders>
                    <w:left w:val="nil"/>
                    <w:right w:val="nil"/>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21" w:type="dxa"/>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05" w:type="dxa"/>
                  <w:tcBorders>
                    <w:left w:val="nil"/>
                    <w:right w:val="nil"/>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left w:val="nil"/>
                    <w:right w:val="nil"/>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5" w:type="dxa"/>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44" w:type="dxa"/>
                  <w:tcBorders>
                    <w:left w:val="nil"/>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left w:val="nil"/>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5" w:type="dxa"/>
                  <w:tcBorders>
                    <w:left w:val="nil"/>
                    <w:righ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60"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36"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5"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16"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93"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45"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91"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19"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30"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lef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9" w:type="dxa"/>
                  <w:tcBorders>
                    <w:left w:val="nil"/>
                    <w:right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r>
            <w:tr>
              <w:trPr/>
              <w:tc>
                <w:tcPr>
                  <w:tcW w:w="1768" w:type="dxa"/>
                  <w:tcBorders>
                    <w:top w:val="nil"/>
                    <w:left w:val="single" w:sz="8" w:space="0" w:color="000000"/>
                    <w:bottom w:val="single" w:sz="8" w:space="0" w:color="000000"/>
                  </w:tcBorders>
                  <w:shd w:color="auto" w:fill="auto" w:val="clear"/>
                  <w:vAlign w:val="bottom"/>
                </w:tcPr>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t>Jednostki samorządu terytorialnego MOF Włocławek</w:t>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p>
                  <w:pPr>
                    <w:pStyle w:val="Normal"/>
                    <w:widowControl/>
                    <w:spacing w:lineRule="auto" w:line="240" w:before="0" w:after="0"/>
                    <w:jc w:val="both"/>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r>
                </w:p>
              </w:tc>
              <w:tc>
                <w:tcPr>
                  <w:tcW w:w="1513" w:type="dxa"/>
                  <w:tcBorders>
                    <w:top w:val="nil"/>
                    <w:left w:val="nil"/>
                    <w:bottom w:val="single" w:sz="8" w:space="0" w:color="000000"/>
                  </w:tcBorders>
                  <w:shd w:color="auto" w:fill="auto" w:val="clear"/>
                  <w:vAlign w:val="center"/>
                </w:tcPr>
                <w:p>
                  <w:pPr>
                    <w:pStyle w:val="Normal"/>
                    <w:widowControl/>
                    <w:spacing w:lineRule="auto" w:line="240" w:before="0" w:after="0"/>
                    <w:jc w:val="left"/>
                    <w:rPr>
                      <w:rFonts w:ascii="Calibri" w:hAnsi="Calibri" w:eastAsia="Times New Roman" w:cs="Calibri"/>
                      <w:color w:val="000000"/>
                      <w:sz w:val="20"/>
                      <w:szCs w:val="20"/>
                      <w:lang w:eastAsia="pl-PL"/>
                    </w:rPr>
                  </w:pPr>
                  <w:r>
                    <w:rPr>
                      <w:rFonts w:eastAsia="Times New Roman" w:cs="Calibri"/>
                      <w:color w:val="000000"/>
                      <w:kern w:val="0"/>
                      <w:sz w:val="20"/>
                      <w:szCs w:val="20"/>
                      <w:lang w:val="pl-PL" w:eastAsia="pl-PL" w:bidi="ar-SA"/>
                    </w:rPr>
                    <w:t>Zakończenie procesu wdrażania założeń strategii obszarowych</w:t>
                  </w:r>
                </w:p>
              </w:tc>
              <w:tc>
                <w:tcPr>
                  <w:tcW w:w="785"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316"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04"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20" w:type="dxa"/>
                  <w:tcBorders>
                    <w:top w:val="nil"/>
                    <w:left w:val="nil"/>
                    <w:bottom w:val="single" w:sz="8" w:space="0" w:color="000000"/>
                    <w:right w:val="nil"/>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21" w:type="dxa"/>
                  <w:tcBorders>
                    <w:top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color w:val="000000"/>
                      <w:lang w:eastAsia="pl-PL"/>
                    </w:rPr>
                  </w:pPr>
                  <w:r>
                    <w:rPr>
                      <w:rFonts w:eastAsia="Times New Roman" w:cs="Calibri"/>
                      <w:color w:val="000000"/>
                      <w:kern w:val="0"/>
                      <w:sz w:val="22"/>
                      <w:szCs w:val="22"/>
                      <w:lang w:val="pl-PL" w:eastAsia="pl-PL" w:bidi="ar-SA"/>
                    </w:rPr>
                    <w:t> </w:t>
                  </w:r>
                </w:p>
              </w:tc>
              <w:tc>
                <w:tcPr>
                  <w:tcW w:w="405" w:type="dxa"/>
                  <w:tcBorders>
                    <w:top w:val="nil"/>
                    <w:left w:val="nil"/>
                    <w:bottom w:val="single" w:sz="8" w:space="0" w:color="000000"/>
                    <w:righ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top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top w:val="nil"/>
                    <w:left w:val="nil"/>
                    <w:bottom w:val="single" w:sz="8" w:space="0" w:color="000000"/>
                    <w:righ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5" w:type="dxa"/>
                  <w:tcBorders>
                    <w:top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44"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5" w:type="dxa"/>
                  <w:tcBorders>
                    <w:top w:val="nil"/>
                    <w:left w:val="nil"/>
                    <w:bottom w:val="single" w:sz="8" w:space="0" w:color="000000"/>
                    <w:right w:val="nil"/>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top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60"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36"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5"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16"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93"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45"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91"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19"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330"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6"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4" w:type="dxa"/>
                  <w:tcBorders>
                    <w:top w:val="nil"/>
                    <w:left w:val="nil"/>
                    <w:bottom w:val="single" w:sz="8" w:space="0" w:color="000000"/>
                  </w:tcBorders>
                  <w:shd w:color="auto" w:fill="auto"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c>
                <w:tcPr>
                  <w:tcW w:w="409" w:type="dxa"/>
                  <w:tcBorders>
                    <w:top w:val="nil"/>
                    <w:left w:val="nil"/>
                    <w:bottom w:val="single" w:sz="8" w:space="0" w:color="000000"/>
                    <w:right w:val="single" w:sz="8" w:space="0" w:color="000000"/>
                  </w:tcBorders>
                  <w:shd w:color="auto" w:fill="8DB3E2" w:themeFill="text2" w:themeFillTint="66" w:val="clear"/>
                  <w:vAlign w:val="bottom"/>
                </w:tcPr>
                <w:p>
                  <w:pPr>
                    <w:pStyle w:val="Normal"/>
                    <w:widowControl/>
                    <w:spacing w:lineRule="auto" w:line="240" w:before="0" w:after="0"/>
                    <w:jc w:val="left"/>
                    <w:rPr>
                      <w:rFonts w:ascii="Calibri" w:hAnsi="Calibri" w:eastAsia="Times New Roman" w:cs="Calibri"/>
                      <w:b/>
                      <w:bCs/>
                      <w:color w:val="000000"/>
                      <w:lang w:eastAsia="pl-PL"/>
                    </w:rPr>
                  </w:pPr>
                  <w:r>
                    <w:rPr>
                      <w:rFonts w:eastAsia="Times New Roman" w:cs="Calibri"/>
                      <w:color w:val="000000"/>
                      <w:kern w:val="0"/>
                      <w:sz w:val="22"/>
                      <w:szCs w:val="22"/>
                      <w:lang w:val="pl-PL" w:eastAsia="pl-PL" w:bidi="ar-SA"/>
                    </w:rPr>
                    <w:t> </w:t>
                  </w:r>
                </w:p>
              </w:tc>
            </w:tr>
          </w:tbl>
          <w:p>
            <w:pPr>
              <w:pStyle w:val="Normal"/>
              <w:widowControl w:val="false"/>
              <w:spacing w:lineRule="auto" w:line="240" w:before="0" w:after="0"/>
              <w:rPr>
                <w:rFonts w:ascii="Calibri" w:hAnsi="Calibri" w:eastAsia="Times New Roman" w:cs="Calibri"/>
                <w:b/>
                <w:bCs/>
                <w:color w:val="000000"/>
                <w:lang w:eastAsia="pl-PL"/>
              </w:rPr>
            </w:pPr>
            <w:r>
              <w:rPr>
                <w:rFonts w:eastAsia="Times New Roman" w:cs="Calibri"/>
                <w:b/>
                <w:bCs/>
                <w:color w:val="000000"/>
                <w:lang w:eastAsia="pl-PL"/>
              </w:rPr>
            </w:r>
          </w:p>
          <w:p>
            <w:pPr>
              <w:pStyle w:val="Normal"/>
              <w:widowControl w:val="false"/>
              <w:spacing w:lineRule="auto" w:line="240" w:before="0" w:after="0"/>
              <w:rPr>
                <w:rFonts w:ascii="Calibri" w:hAnsi="Calibri" w:eastAsia="Times New Roman" w:cs="Calibri"/>
                <w:b/>
                <w:bCs/>
                <w:color w:val="000000"/>
                <w:lang w:eastAsia="pl-PL"/>
              </w:rPr>
            </w:pPr>
            <w:r>
              <w:rPr>
                <w:rFonts w:eastAsia="Times New Roman" w:cs="Calibri"/>
                <w:b/>
                <w:bCs/>
                <w:color w:val="000000"/>
                <w:lang w:eastAsia="pl-PL"/>
              </w:rPr>
            </w:r>
          </w:p>
          <w:p>
            <w:pPr>
              <w:pStyle w:val="Normal"/>
              <w:widowControl w:val="false"/>
              <w:spacing w:lineRule="auto" w:line="240" w:before="0" w:after="0"/>
              <w:rPr>
                <w:rFonts w:ascii="Calibri" w:hAnsi="Calibri" w:eastAsia="Times New Roman" w:cs="Calibri"/>
                <w:b/>
                <w:bCs/>
                <w:color w:val="000000"/>
                <w:lang w:eastAsia="pl-PL"/>
              </w:rPr>
            </w:pPr>
            <w:r>
              <w:rPr>
                <w:rFonts w:eastAsia="Times New Roman" w:cs="Calibri"/>
                <w:b/>
                <w:bCs/>
                <w:color w:val="000000"/>
                <w:lang w:eastAsia="pl-PL"/>
              </w:rPr>
            </w:r>
          </w:p>
          <w:p>
            <w:pPr>
              <w:pStyle w:val="Normal"/>
              <w:widowControl w:val="false"/>
              <w:spacing w:lineRule="auto" w:line="240" w:before="0" w:after="0"/>
              <w:ind w:right="499" w:hanging="0"/>
              <w:rPr>
                <w:rFonts w:ascii="Calibri" w:hAnsi="Calibri" w:eastAsia="Times New Roman" w:cs="Calibri"/>
                <w:b/>
                <w:bCs/>
                <w:color w:val="000000"/>
                <w:lang w:eastAsia="pl-PL"/>
              </w:rPr>
            </w:pPr>
            <w:r>
              <w:rPr>
                <w:rFonts w:eastAsia="Times New Roman" w:cs="Calibri"/>
                <w:b/>
                <w:bCs/>
                <w:color w:val="000000"/>
                <w:lang w:eastAsia="pl-PL"/>
              </w:rPr>
            </w:r>
          </w:p>
        </w:tc>
      </w:tr>
    </w:tbl>
    <w:p>
      <w:pPr>
        <w:sectPr>
          <w:headerReference w:type="default" r:id="rId49"/>
          <w:headerReference w:type="first" r:id="rId50"/>
          <w:footerReference w:type="default" r:id="rId51"/>
          <w:footerReference w:type="first" r:id="rId52"/>
          <w:footnotePr>
            <w:numFmt w:val="decimal"/>
          </w:footnotePr>
          <w:type w:val="nextPage"/>
          <w:pgSz w:orient="landscape" w:w="16838" w:h="11906"/>
          <w:pgMar w:left="1134" w:right="1559" w:gutter="0" w:header="284" w:top="1418" w:footer="227" w:bottom="1418"/>
          <w:pgNumType w:fmt="decimal"/>
          <w:formProt w:val="false"/>
          <w:textDirection w:val="lrTb"/>
          <w:docGrid w:type="default" w:linePitch="360" w:charSpace="4096"/>
        </w:sectPr>
        <w:pStyle w:val="Normal"/>
        <w:rPr/>
      </w:pPr>
      <w:r>
        <w:rPr/>
      </w:r>
    </w:p>
    <w:p>
      <w:pPr>
        <w:pStyle w:val="Normal"/>
        <w:rPr>
          <w:b/>
          <w:bCs/>
          <w:sz w:val="20"/>
          <w:szCs w:val="20"/>
        </w:rPr>
      </w:pPr>
      <w:r>
        <w:rPr>
          <w:b/>
          <w:bCs/>
          <w:sz w:val="20"/>
          <w:szCs w:val="20"/>
        </w:rPr>
        <w:t>Załącznik nr 2. Kontraktacja narastająco</w:t>
      </w:r>
    </w:p>
    <w:p>
      <w:pPr>
        <w:pStyle w:val="Normal"/>
        <w:rPr>
          <w:b/>
          <w:bCs/>
        </w:rPr>
      </w:pPr>
      <w:r>
        <w:rPr>
          <w:b/>
          <w:bCs/>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413"/>
        <w:gridCol w:w="1983"/>
        <w:gridCol w:w="1844"/>
        <w:gridCol w:w="2008"/>
        <w:gridCol w:w="1812"/>
      </w:tblGrid>
      <w:tr>
        <w:trPr>
          <w:trHeight w:val="903" w:hRule="atLeast"/>
        </w:trPr>
        <w:tc>
          <w:tcPr>
            <w:tcW w:w="9060" w:type="dxa"/>
            <w:gridSpan w:val="5"/>
            <w:tcBorders/>
            <w:shd w:color="auto" w:fill="548DD4" w:themeFill="text2" w:themeFillTint="99" w:val="clear"/>
          </w:tcPr>
          <w:p>
            <w:pPr>
              <w:pStyle w:val="Normal"/>
              <w:widowControl/>
              <w:spacing w:before="0" w:after="160"/>
              <w:jc w:val="center"/>
              <w:rPr>
                <w:b/>
                <w:bCs/>
              </w:rPr>
            </w:pPr>
            <w:r>
              <w:rPr>
                <w:rFonts w:cs=""/>
                <w:b/>
                <w:bCs/>
                <w:kern w:val="0"/>
                <w:sz w:val="22"/>
                <w:szCs w:val="22"/>
                <w:lang w:val="pl-PL" w:eastAsia="en-US" w:bidi="ar-SA"/>
              </w:rPr>
            </w:r>
            <w:bookmarkStart w:id="218" w:name="_Hlk136849392"/>
            <w:bookmarkStart w:id="219" w:name="_Hlk136849392"/>
          </w:p>
          <w:p>
            <w:pPr>
              <w:pStyle w:val="Normal"/>
              <w:widowControl/>
              <w:spacing w:before="0" w:after="160"/>
              <w:jc w:val="center"/>
              <w:rPr>
                <w:b/>
                <w:bCs/>
                <w:sz w:val="24"/>
                <w:szCs w:val="24"/>
              </w:rPr>
            </w:pPr>
            <w:r>
              <w:rPr>
                <w:rFonts w:cs=""/>
                <w:b/>
                <w:bCs/>
                <w:kern w:val="0"/>
                <w:sz w:val="24"/>
                <w:szCs w:val="24"/>
                <w:lang w:val="pl-PL" w:eastAsia="en-US" w:bidi="ar-SA"/>
              </w:rPr>
              <w:t>Kontraktacja (narastająco)</w:t>
            </w:r>
          </w:p>
        </w:tc>
      </w:tr>
      <w:tr>
        <w:trPr/>
        <w:tc>
          <w:tcPr>
            <w:tcW w:w="1413" w:type="dxa"/>
            <w:vMerge w:val="restart"/>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r>
          </w:p>
          <w:p>
            <w:pPr>
              <w:pStyle w:val="Normal"/>
              <w:widowControl/>
              <w:spacing w:before="0" w:after="160"/>
              <w:jc w:val="center"/>
              <w:rPr>
                <w:b/>
                <w:bCs/>
              </w:rPr>
            </w:pPr>
            <w:r>
              <w:rPr>
                <w:rFonts w:cs=""/>
                <w:b/>
                <w:bCs/>
                <w:kern w:val="0"/>
                <w:sz w:val="22"/>
                <w:szCs w:val="22"/>
                <w:lang w:val="pl-PL" w:eastAsia="en-US" w:bidi="ar-SA"/>
              </w:rPr>
            </w:r>
          </w:p>
          <w:p>
            <w:pPr>
              <w:pStyle w:val="Normal"/>
              <w:widowControl/>
              <w:spacing w:before="0" w:after="160"/>
              <w:jc w:val="center"/>
              <w:rPr>
                <w:b/>
                <w:bCs/>
              </w:rPr>
            </w:pPr>
            <w:r>
              <w:rPr>
                <w:rFonts w:cs=""/>
                <w:b/>
                <w:bCs/>
                <w:kern w:val="0"/>
                <w:sz w:val="22"/>
                <w:szCs w:val="22"/>
                <w:lang w:val="pl-PL" w:eastAsia="en-US" w:bidi="ar-SA"/>
              </w:rPr>
              <w:t>Rok</w:t>
            </w:r>
          </w:p>
        </w:tc>
        <w:tc>
          <w:tcPr>
            <w:tcW w:w="3827" w:type="dxa"/>
            <w:gridSpan w:val="2"/>
            <w:tcBorders/>
          </w:tcPr>
          <w:p>
            <w:pPr>
              <w:pStyle w:val="Normal"/>
              <w:widowControl/>
              <w:spacing w:before="0" w:after="160"/>
              <w:jc w:val="center"/>
              <w:rPr>
                <w:b/>
                <w:bCs/>
              </w:rPr>
            </w:pPr>
            <w:r>
              <w:rPr>
                <w:rFonts w:cs=""/>
                <w:b/>
                <w:bCs/>
                <w:kern w:val="0"/>
                <w:sz w:val="22"/>
                <w:szCs w:val="22"/>
                <w:lang w:val="pl-PL" w:eastAsia="en-US" w:bidi="ar-SA"/>
              </w:rPr>
              <w:t>EFRR</w:t>
            </w:r>
          </w:p>
        </w:tc>
        <w:tc>
          <w:tcPr>
            <w:tcW w:w="3820" w:type="dxa"/>
            <w:gridSpan w:val="2"/>
            <w:tcBorders/>
          </w:tcPr>
          <w:p>
            <w:pPr>
              <w:pStyle w:val="Normal"/>
              <w:widowControl/>
              <w:spacing w:before="0" w:after="160"/>
              <w:jc w:val="center"/>
              <w:rPr>
                <w:b/>
                <w:bCs/>
              </w:rPr>
            </w:pPr>
            <w:r>
              <w:rPr>
                <w:rFonts w:cs=""/>
                <w:b/>
                <w:bCs/>
                <w:kern w:val="0"/>
                <w:sz w:val="22"/>
                <w:szCs w:val="22"/>
                <w:lang w:val="pl-PL" w:eastAsia="en-US" w:bidi="ar-SA"/>
              </w:rPr>
              <w:t>EFS+</w:t>
            </w:r>
          </w:p>
        </w:tc>
      </w:tr>
      <w:tr>
        <w:trPr/>
        <w:tc>
          <w:tcPr>
            <w:tcW w:w="1413" w:type="dxa"/>
            <w:vMerge w:val="continue"/>
            <w:tcBorders/>
            <w:shd w:color="auto" w:fill="D9D9D9" w:themeFill="background1" w:themeFillShade="d9" w:val="clear"/>
          </w:tcPr>
          <w:p>
            <w:pPr>
              <w:pStyle w:val="Normal"/>
              <w:widowControl/>
              <w:spacing w:before="0" w:after="160"/>
              <w:jc w:val="center"/>
              <w:rPr>
                <w:b/>
                <w:bCs/>
              </w:rPr>
            </w:pPr>
            <w:r>
              <w:rPr>
                <w:rFonts w:cs=""/>
                <w:b/>
                <w:bCs/>
                <w:kern w:val="0"/>
                <w:sz w:val="22"/>
                <w:szCs w:val="22"/>
                <w:lang w:val="pl-PL" w:eastAsia="en-US" w:bidi="ar-SA"/>
              </w:rPr>
            </w:r>
          </w:p>
        </w:tc>
        <w:tc>
          <w:tcPr>
            <w:tcW w:w="1983" w:type="dxa"/>
            <w:tcBorders/>
            <w:shd w:color="auto" w:fill="8DB3E2" w:themeFill="text2" w:themeFillTint="66" w:val="clear"/>
            <w:vAlign w:val="center"/>
          </w:tcPr>
          <w:p>
            <w:pPr>
              <w:pStyle w:val="Normal"/>
              <w:widowControl/>
              <w:spacing w:before="0" w:after="160"/>
              <w:jc w:val="center"/>
              <w:rPr>
                <w:b/>
                <w:bCs/>
              </w:rPr>
            </w:pPr>
            <w:r>
              <w:rPr>
                <w:rFonts w:eastAsia="Calibri" w:cs="Arial"/>
                <w:b/>
                <w:bCs/>
                <w:kern w:val="0"/>
                <w:sz w:val="22"/>
                <w:szCs w:val="22"/>
                <w:lang w:val="pl-PL" w:eastAsia="pl-PL" w:bidi="ar-SA"/>
              </w:rPr>
              <w:t>Liczba projektów planowanych do złożenia</w:t>
            </w:r>
          </w:p>
        </w:tc>
        <w:tc>
          <w:tcPr>
            <w:tcW w:w="1844" w:type="dxa"/>
            <w:tcBorders/>
            <w:shd w:color="auto" w:fill="8DB3E2" w:themeFill="text2" w:themeFillTint="66" w:val="clear"/>
            <w:vAlign w:val="center"/>
          </w:tcPr>
          <w:p>
            <w:pPr>
              <w:pStyle w:val="Normal"/>
              <w:widowControl/>
              <w:spacing w:lineRule="auto" w:line="240" w:before="0" w:after="0"/>
              <w:contextualSpacing/>
              <w:jc w:val="center"/>
              <w:rPr>
                <w:rFonts w:eastAsia="Calibri" w:cs="Arial"/>
                <w:b/>
                <w:bCs/>
                <w:lang w:eastAsia="pl-PL"/>
              </w:rPr>
            </w:pPr>
            <w:r>
              <w:rPr>
                <w:rFonts w:eastAsia="Calibri" w:cs="Arial"/>
                <w:b/>
                <w:bCs/>
                <w:kern w:val="0"/>
                <w:sz w:val="22"/>
                <w:szCs w:val="22"/>
                <w:lang w:val="pl-PL" w:eastAsia="pl-PL" w:bidi="ar-SA"/>
              </w:rPr>
              <w:t>Wartość</w:t>
            </w:r>
          </w:p>
          <w:p>
            <w:pPr>
              <w:pStyle w:val="Normal"/>
              <w:widowControl/>
              <w:spacing w:before="0" w:after="160"/>
              <w:jc w:val="center"/>
              <w:rPr>
                <w:b/>
                <w:bCs/>
              </w:rPr>
            </w:pPr>
            <w:r>
              <w:rPr>
                <w:rFonts w:eastAsia="Calibri" w:cs="Arial"/>
                <w:b/>
                <w:bCs/>
                <w:kern w:val="0"/>
                <w:sz w:val="22"/>
                <w:szCs w:val="22"/>
                <w:lang w:val="pl-PL" w:eastAsia="pl-PL" w:bidi="ar-SA"/>
              </w:rPr>
              <w:t>dofinansowania z projektów planowanych do złożenia (euro)</w:t>
            </w:r>
          </w:p>
        </w:tc>
        <w:tc>
          <w:tcPr>
            <w:tcW w:w="2008" w:type="dxa"/>
            <w:tcBorders/>
            <w:shd w:color="auto" w:fill="8DB3E2" w:themeFill="text2" w:themeFillTint="66" w:val="clear"/>
            <w:vAlign w:val="center"/>
          </w:tcPr>
          <w:p>
            <w:pPr>
              <w:pStyle w:val="Normal"/>
              <w:widowControl/>
              <w:spacing w:before="0" w:after="160"/>
              <w:jc w:val="center"/>
              <w:rPr>
                <w:b/>
                <w:bCs/>
              </w:rPr>
            </w:pPr>
            <w:r>
              <w:rPr>
                <w:rFonts w:eastAsia="Calibri" w:cs="Arial"/>
                <w:b/>
                <w:bCs/>
                <w:kern w:val="0"/>
                <w:sz w:val="22"/>
                <w:szCs w:val="22"/>
                <w:lang w:val="pl-PL" w:eastAsia="pl-PL" w:bidi="ar-SA"/>
              </w:rPr>
              <w:t>Liczba projektów planowanych do złożenia</w:t>
            </w:r>
          </w:p>
        </w:tc>
        <w:tc>
          <w:tcPr>
            <w:tcW w:w="1812" w:type="dxa"/>
            <w:tcBorders/>
            <w:shd w:color="auto" w:fill="8DB3E2" w:themeFill="text2" w:themeFillTint="66" w:val="clear"/>
            <w:vAlign w:val="center"/>
          </w:tcPr>
          <w:p>
            <w:pPr>
              <w:pStyle w:val="Normal"/>
              <w:widowControl/>
              <w:spacing w:lineRule="auto" w:line="240" w:before="0" w:after="0"/>
              <w:contextualSpacing/>
              <w:jc w:val="center"/>
              <w:rPr>
                <w:rFonts w:eastAsia="Calibri" w:cs="Arial"/>
                <w:b/>
                <w:bCs/>
                <w:lang w:eastAsia="pl-PL"/>
              </w:rPr>
            </w:pPr>
            <w:r>
              <w:rPr>
                <w:rFonts w:eastAsia="Calibri" w:cs="Arial"/>
                <w:b/>
                <w:bCs/>
                <w:kern w:val="0"/>
                <w:sz w:val="22"/>
                <w:szCs w:val="22"/>
                <w:lang w:val="pl-PL" w:eastAsia="pl-PL" w:bidi="ar-SA"/>
              </w:rPr>
              <w:t>Wartość</w:t>
            </w:r>
          </w:p>
          <w:p>
            <w:pPr>
              <w:pStyle w:val="Normal"/>
              <w:widowControl/>
              <w:spacing w:before="0" w:after="160"/>
              <w:jc w:val="center"/>
              <w:rPr>
                <w:b/>
                <w:bCs/>
              </w:rPr>
            </w:pPr>
            <w:r>
              <w:rPr>
                <w:rFonts w:eastAsia="Calibri" w:cs="Arial"/>
                <w:b/>
                <w:bCs/>
                <w:kern w:val="0"/>
                <w:sz w:val="22"/>
                <w:szCs w:val="22"/>
                <w:lang w:val="pl-PL" w:eastAsia="pl-PL" w:bidi="ar-SA"/>
              </w:rPr>
              <w:t>dofinansowania z projektów planowanych do złożenia (euro)</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2023</w:t>
            </w:r>
          </w:p>
        </w:tc>
        <w:tc>
          <w:tcPr>
            <w:tcW w:w="1983" w:type="dxa"/>
            <w:tcBorders/>
            <w:shd w:color="auto" w:fill="FFFFFF" w:themeFill="background1" w:val="clear"/>
            <w:vAlign w:val="center"/>
          </w:tcPr>
          <w:p>
            <w:pPr>
              <w:pStyle w:val="Normal"/>
              <w:widowControl/>
              <w:spacing w:before="0" w:after="160"/>
              <w:jc w:val="center"/>
              <w:rPr>
                <w:rFonts w:eastAsia="Calibri" w:cs="Arial"/>
                <w:lang w:eastAsia="pl-PL"/>
              </w:rPr>
            </w:pPr>
            <w:r>
              <w:rPr>
                <w:rFonts w:eastAsia="Calibri" w:cs="Arial"/>
                <w:kern w:val="0"/>
                <w:sz w:val="22"/>
                <w:szCs w:val="22"/>
                <w:lang w:val="pl-PL" w:eastAsia="pl-PL" w:bidi="ar-SA"/>
              </w:rPr>
              <w:t>6</w:t>
            </w:r>
          </w:p>
        </w:tc>
        <w:tc>
          <w:tcPr>
            <w:tcW w:w="1844" w:type="dxa"/>
            <w:tcBorders/>
            <w:shd w:color="auto" w:fill="FFFFFF" w:themeFill="background1" w:val="clear"/>
            <w:vAlign w:val="center"/>
          </w:tcPr>
          <w:p>
            <w:pPr>
              <w:pStyle w:val="Normal"/>
              <w:widowControl/>
              <w:spacing w:before="0" w:after="160"/>
              <w:jc w:val="center"/>
              <w:rPr>
                <w:rFonts w:eastAsia="Calibri" w:cs="Arial"/>
                <w:lang w:eastAsia="pl-PL"/>
              </w:rPr>
            </w:pPr>
            <w:r>
              <w:rPr>
                <w:rFonts w:eastAsia="Calibri" w:cs="Arial"/>
                <w:kern w:val="0"/>
                <w:sz w:val="22"/>
                <w:szCs w:val="22"/>
                <w:lang w:val="pl-PL" w:eastAsia="pl-PL" w:bidi="ar-SA"/>
              </w:rPr>
              <w:t>2 071 828,10</w:t>
            </w:r>
          </w:p>
        </w:tc>
        <w:tc>
          <w:tcPr>
            <w:tcW w:w="2008" w:type="dxa"/>
            <w:tcBorders/>
            <w:shd w:color="auto" w:fill="FFFFFF" w:themeFill="background1" w:val="clear"/>
            <w:vAlign w:val="center"/>
          </w:tcPr>
          <w:p>
            <w:pPr>
              <w:pStyle w:val="Normal"/>
              <w:widowControl/>
              <w:spacing w:before="0" w:after="160"/>
              <w:jc w:val="center"/>
              <w:rPr>
                <w:rFonts w:eastAsia="Calibri" w:cs="Arial"/>
                <w:lang w:eastAsia="pl-PL"/>
              </w:rPr>
            </w:pPr>
            <w:r>
              <w:rPr>
                <w:rFonts w:eastAsia="Calibri" w:cs="Arial"/>
                <w:kern w:val="0"/>
                <w:sz w:val="22"/>
                <w:szCs w:val="22"/>
                <w:lang w:val="pl-PL" w:eastAsia="pl-PL" w:bidi="ar-SA"/>
              </w:rPr>
              <w:t>5</w:t>
            </w:r>
          </w:p>
        </w:tc>
        <w:tc>
          <w:tcPr>
            <w:tcW w:w="1812" w:type="dxa"/>
            <w:tcBorders/>
            <w:shd w:color="auto" w:fill="FFFFFF" w:themeFill="background1" w:val="clear"/>
            <w:vAlign w:val="center"/>
          </w:tcPr>
          <w:p>
            <w:pPr>
              <w:pStyle w:val="Normal"/>
              <w:widowControl/>
              <w:spacing w:before="0" w:after="160"/>
              <w:jc w:val="center"/>
              <w:rPr>
                <w:rFonts w:eastAsia="Calibri" w:cs="Arial"/>
                <w:lang w:eastAsia="pl-PL"/>
              </w:rPr>
            </w:pPr>
            <w:r>
              <w:rPr>
                <w:rFonts w:eastAsia="Calibri" w:cs="Arial"/>
                <w:kern w:val="0"/>
                <w:sz w:val="22"/>
                <w:szCs w:val="22"/>
                <w:lang w:val="pl-PL" w:eastAsia="pl-PL" w:bidi="ar-SA"/>
              </w:rPr>
              <w:t>752 381,24</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2024</w:t>
            </w:r>
          </w:p>
        </w:tc>
        <w:tc>
          <w:tcPr>
            <w:tcW w:w="1983" w:type="dxa"/>
            <w:tcBorders>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64</w:t>
            </w:r>
          </w:p>
        </w:tc>
        <w:tc>
          <w:tcPr>
            <w:tcW w:w="1844" w:type="dxa"/>
            <w:tcBorders>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35 742 436,37</w:t>
            </w:r>
          </w:p>
        </w:tc>
        <w:tc>
          <w:tcPr>
            <w:tcW w:w="2008" w:type="dxa"/>
            <w:tcBorders>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13</w:t>
            </w:r>
          </w:p>
        </w:tc>
        <w:tc>
          <w:tcPr>
            <w:tcW w:w="1812" w:type="dxa"/>
            <w:tcBorders>
              <w:left w:val="nil"/>
              <w:right w:val="single" w:sz="8" w:space="0" w:color="000000"/>
            </w:tcBorders>
            <w:shd w:color="auto" w:fill="FFFFFF" w:themeFill="background1" w:val="clear"/>
            <w:vAlign w:val="center"/>
          </w:tcPr>
          <w:p>
            <w:pPr>
              <w:pStyle w:val="Normal"/>
              <w:widowControl/>
              <w:spacing w:before="0" w:after="160"/>
              <w:jc w:val="center"/>
              <w:rPr>
                <w:rFonts w:ascii="Calibri" w:hAnsi="Calibri" w:cs=""/>
                <w:kern w:val="0"/>
                <w:sz w:val="22"/>
                <w:szCs w:val="22"/>
                <w:lang w:val="pl-PL" w:eastAsia="en-US" w:bidi="ar-SA"/>
              </w:rPr>
            </w:pPr>
            <w:r>
              <w:rPr>
                <w:rFonts w:cs=""/>
                <w:kern w:val="0"/>
                <w:sz w:val="22"/>
                <w:szCs w:val="22"/>
                <w:lang w:val="pl-PL" w:eastAsia="en-US" w:bidi="ar-SA"/>
              </w:rPr>
              <w:t>6 4707 698,71</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2025</w:t>
            </w:r>
          </w:p>
        </w:tc>
        <w:tc>
          <w:tcPr>
            <w:tcW w:w="1983" w:type="dxa"/>
            <w:tcBorders>
              <w:top w:val="nil"/>
              <w:left w:val="single" w:sz="8" w:space="0" w:color="000000"/>
            </w:tcBorders>
            <w:shd w:color="auto" w:fill="auto" w:val="clear"/>
            <w:vAlign w:val="center"/>
          </w:tcPr>
          <w:p>
            <w:pPr>
              <w:pStyle w:val="Normal"/>
              <w:widowControl/>
              <w:spacing w:before="0" w:after="160"/>
              <w:jc w:val="center"/>
              <w:rPr>
                <w:b/>
                <w:bCs/>
              </w:rPr>
            </w:pPr>
            <w:r>
              <w:rPr>
                <w:rFonts w:eastAsia="Calibri" w:cs="Arial"/>
                <w:kern w:val="0"/>
                <w:sz w:val="22"/>
                <w:szCs w:val="22"/>
                <w:lang w:val="pl-PL" w:eastAsia="pl-PL" w:bidi="ar-SA"/>
              </w:rPr>
              <w:t>1</w:t>
            </w:r>
          </w:p>
        </w:tc>
        <w:tc>
          <w:tcPr>
            <w:tcW w:w="1844" w:type="dxa"/>
            <w:tcBorders>
              <w:top w:val="nil"/>
              <w:left w:val="nil"/>
              <w:right w:val="single" w:sz="8" w:space="0" w:color="000000"/>
            </w:tcBorders>
            <w:shd w:color="auto" w:fill="auto" w:val="clear"/>
            <w:vAlign w:val="center"/>
          </w:tcPr>
          <w:p>
            <w:pPr>
              <w:pStyle w:val="Normal"/>
              <w:widowControl/>
              <w:spacing w:before="0" w:after="160"/>
              <w:jc w:val="center"/>
              <w:rPr>
                <w:b/>
                <w:bCs/>
              </w:rPr>
            </w:pPr>
            <w:r>
              <w:rPr>
                <w:rFonts w:eastAsia="Calibri" w:cs="Arial"/>
                <w:kern w:val="0"/>
                <w:sz w:val="22"/>
                <w:szCs w:val="22"/>
                <w:lang w:val="pl-PL" w:eastAsia="pl-PL" w:bidi="ar-SA"/>
              </w:rPr>
              <w:t>35 865 359,80</w:t>
            </w:r>
          </w:p>
        </w:tc>
        <w:tc>
          <w:tcPr>
            <w:tcW w:w="2008" w:type="dxa"/>
            <w:tcBorders>
              <w:top w:val="nil"/>
              <w:left w:val="single" w:sz="8" w:space="0" w:color="000000"/>
            </w:tcBorders>
            <w:shd w:color="auto" w:fill="auto" w:val="clear"/>
            <w:vAlign w:val="center"/>
          </w:tcPr>
          <w:p>
            <w:pPr>
              <w:pStyle w:val="Normal"/>
              <w:widowControl/>
              <w:spacing w:before="0" w:after="160"/>
              <w:jc w:val="center"/>
              <w:rPr>
                <w:b/>
                <w:bCs/>
              </w:rPr>
            </w:pPr>
            <w:r>
              <w:rPr>
                <w:rFonts w:eastAsia="Calibri" w:cs="Arial"/>
                <w:kern w:val="0"/>
                <w:sz w:val="22"/>
                <w:szCs w:val="22"/>
                <w:lang w:val="pl-PL" w:eastAsia="pl-PL" w:bidi="ar-SA"/>
              </w:rPr>
              <w:t>2</w:t>
            </w:r>
          </w:p>
        </w:tc>
        <w:tc>
          <w:tcPr>
            <w:tcW w:w="1812" w:type="dxa"/>
            <w:tcBorders>
              <w:top w:val="nil"/>
              <w:left w:val="nil"/>
              <w:right w:val="single" w:sz="8" w:space="0" w:color="000000"/>
            </w:tcBorders>
            <w:shd w:color="auto" w:fill="auto" w:val="clear"/>
            <w:vAlign w:val="center"/>
          </w:tcPr>
          <w:p>
            <w:pPr>
              <w:pStyle w:val="Normal"/>
              <w:widowControl/>
              <w:spacing w:before="0" w:after="160"/>
              <w:jc w:val="center"/>
              <w:rPr>
                <w:b/>
                <w:bCs/>
              </w:rPr>
            </w:pPr>
            <w:r>
              <w:rPr>
                <w:rFonts w:eastAsia="Calibri" w:cs="Arial"/>
                <w:kern w:val="0"/>
                <w:sz w:val="22"/>
                <w:szCs w:val="22"/>
                <w:lang w:val="pl-PL" w:eastAsia="pl-PL" w:bidi="ar-SA"/>
              </w:rPr>
              <w:t>6 683 619,96</w:t>
            </w:r>
          </w:p>
        </w:tc>
      </w:tr>
      <w:tr>
        <w:trPr>
          <w:trHeight w:val="851" w:hRule="atLeast"/>
        </w:trPr>
        <w:tc>
          <w:tcPr>
            <w:tcW w:w="1413" w:type="dxa"/>
            <w:tcBorders/>
            <w:shd w:color="auto" w:fill="C6D9F1" w:themeFill="text2" w:themeFillTint="33" w:val="clear"/>
          </w:tcPr>
          <w:p>
            <w:pPr>
              <w:pStyle w:val="Normal"/>
              <w:widowControl/>
              <w:spacing w:before="0" w:after="160"/>
              <w:jc w:val="left"/>
              <w:rPr>
                <w:b/>
                <w:bCs/>
              </w:rPr>
            </w:pPr>
            <w:r>
              <w:rPr>
                <w:rFonts w:cs=""/>
                <w:b/>
                <w:bCs/>
                <w:kern w:val="0"/>
                <w:sz w:val="22"/>
                <w:szCs w:val="22"/>
                <w:lang w:val="pl-PL" w:eastAsia="en-US" w:bidi="ar-SA"/>
              </w:rPr>
            </w:r>
          </w:p>
        </w:tc>
        <w:tc>
          <w:tcPr>
            <w:tcW w:w="3827" w:type="dxa"/>
            <w:gridSpan w:val="2"/>
            <w:tcBorders>
              <w:left w:val="single" w:sz="8" w:space="0" w:color="000000"/>
              <w:right w:val="single" w:sz="8" w:space="0" w:color="000000"/>
            </w:tcBorders>
            <w:shd w:color="auto" w:fill="C6D9F1" w:themeFill="text2" w:themeFillTint="33" w:val="clear"/>
            <w:vAlign w:val="center"/>
          </w:tcPr>
          <w:p>
            <w:pPr>
              <w:pStyle w:val="Normal"/>
              <w:widowControl/>
              <w:spacing w:before="0" w:after="160"/>
              <w:jc w:val="center"/>
              <w:rPr>
                <w:rFonts w:eastAsia="Calibri" w:cs="Arial"/>
                <w:lang w:eastAsia="pl-PL"/>
              </w:rPr>
            </w:pPr>
            <w:r>
              <w:rPr>
                <w:rFonts w:eastAsia="Calibri" w:cs="Arial"/>
                <w:b/>
                <w:bCs/>
                <w:kern w:val="0"/>
                <w:sz w:val="22"/>
                <w:szCs w:val="22"/>
                <w:lang w:val="pl-PL" w:eastAsia="pl-PL" w:bidi="ar-SA"/>
              </w:rPr>
              <w:t>Liczba projektów planowanych do złożenia ERFF, EFS+</w:t>
            </w:r>
          </w:p>
        </w:tc>
        <w:tc>
          <w:tcPr>
            <w:tcW w:w="3820" w:type="dxa"/>
            <w:gridSpan w:val="2"/>
            <w:tcBorders>
              <w:left w:val="single" w:sz="8" w:space="0" w:color="000000"/>
              <w:right w:val="single" w:sz="8" w:space="0" w:color="000000"/>
            </w:tcBorders>
            <w:shd w:color="auto" w:fill="C6D9F1" w:themeFill="text2" w:themeFillTint="33" w:val="clear"/>
            <w:vAlign w:val="center"/>
          </w:tcPr>
          <w:p>
            <w:pPr>
              <w:pStyle w:val="Normal"/>
              <w:widowControl/>
              <w:spacing w:before="0" w:after="0"/>
              <w:jc w:val="center"/>
              <w:rPr>
                <w:rFonts w:eastAsia="Calibri" w:cs="Arial"/>
                <w:b/>
                <w:bCs/>
                <w:lang w:eastAsia="pl-PL"/>
              </w:rPr>
            </w:pPr>
            <w:r>
              <w:rPr>
                <w:rFonts w:eastAsia="Calibri" w:cs="Arial"/>
                <w:b/>
                <w:bCs/>
                <w:kern w:val="0"/>
                <w:sz w:val="22"/>
                <w:szCs w:val="22"/>
                <w:lang w:val="pl-PL" w:eastAsia="pl-PL" w:bidi="ar-SA"/>
              </w:rPr>
              <w:t>Wartość</w:t>
            </w:r>
          </w:p>
          <w:p>
            <w:pPr>
              <w:pStyle w:val="Normal"/>
              <w:widowControl/>
              <w:spacing w:before="0" w:after="0"/>
              <w:jc w:val="center"/>
              <w:rPr>
                <w:rFonts w:eastAsia="Calibri" w:cs="Arial"/>
                <w:lang w:eastAsia="pl-PL"/>
              </w:rPr>
            </w:pPr>
            <w:r>
              <w:rPr>
                <w:rFonts w:eastAsia="Calibri" w:cs="Arial"/>
                <w:b/>
                <w:bCs/>
                <w:kern w:val="0"/>
                <w:sz w:val="22"/>
                <w:szCs w:val="22"/>
                <w:lang w:val="pl-PL" w:eastAsia="pl-PL" w:bidi="ar-SA"/>
              </w:rPr>
              <w:t>dofinansowania z projektów planowanych do złożenia (euro) EFRR, EFS+</w:t>
            </w:r>
          </w:p>
        </w:tc>
      </w:tr>
      <w:tr>
        <w:trPr/>
        <w:tc>
          <w:tcPr>
            <w:tcW w:w="1413" w:type="dxa"/>
            <w:tcBorders/>
            <w:shd w:color="auto" w:fill="548DD4" w:themeFill="text2" w:themeFillTint="99" w:val="clear"/>
          </w:tcPr>
          <w:p>
            <w:pPr>
              <w:pStyle w:val="Normal"/>
              <w:widowControl/>
              <w:spacing w:before="0" w:after="160"/>
              <w:jc w:val="center"/>
              <w:rPr>
                <w:b/>
                <w:bCs/>
              </w:rPr>
            </w:pPr>
            <w:r>
              <w:rPr>
                <w:rFonts w:cs=""/>
                <w:b/>
                <w:bCs/>
                <w:kern w:val="0"/>
                <w:sz w:val="22"/>
                <w:szCs w:val="22"/>
                <w:lang w:val="pl-PL" w:eastAsia="en-US" w:bidi="ar-SA"/>
              </w:rPr>
            </w:r>
          </w:p>
        </w:tc>
        <w:tc>
          <w:tcPr>
            <w:tcW w:w="3827" w:type="dxa"/>
            <w:gridSpan w:val="2"/>
            <w:tcBorders>
              <w:left w:val="single" w:sz="8" w:space="0" w:color="000000"/>
              <w:right w:val="single" w:sz="8" w:space="0" w:color="000000"/>
            </w:tcBorders>
            <w:shd w:color="auto" w:fill="548DD4" w:themeFill="text2" w:themeFillTint="99" w:val="clear"/>
            <w:vAlign w:val="center"/>
          </w:tcPr>
          <w:p>
            <w:pPr>
              <w:pStyle w:val="Normal"/>
              <w:widowControl/>
              <w:spacing w:before="0" w:after="160"/>
              <w:jc w:val="center"/>
              <w:rPr>
                <w:rFonts w:eastAsia="Calibri" w:cs="Arial"/>
                <w:b/>
                <w:bCs/>
                <w:lang w:eastAsia="pl-PL"/>
              </w:rPr>
            </w:pPr>
            <w:r>
              <w:rPr>
                <w:rFonts w:eastAsia="Calibri" w:cs="Arial"/>
                <w:b/>
                <w:bCs/>
                <w:kern w:val="0"/>
                <w:sz w:val="22"/>
                <w:szCs w:val="22"/>
                <w:lang w:val="pl-PL" w:eastAsia="pl-PL" w:bidi="ar-SA"/>
              </w:rPr>
              <w:t>91</w:t>
            </w:r>
          </w:p>
        </w:tc>
        <w:tc>
          <w:tcPr>
            <w:tcW w:w="3820" w:type="dxa"/>
            <w:gridSpan w:val="2"/>
            <w:tcBorders>
              <w:left w:val="single" w:sz="8" w:space="0" w:color="000000"/>
              <w:right w:val="single" w:sz="8" w:space="0" w:color="000000"/>
            </w:tcBorders>
            <w:shd w:color="auto" w:fill="548DD4" w:themeFill="text2" w:themeFillTint="99" w:val="clear"/>
            <w:vAlign w:val="center"/>
          </w:tcPr>
          <w:p>
            <w:pPr>
              <w:pStyle w:val="Normal"/>
              <w:widowControl/>
              <w:spacing w:before="0" w:after="160"/>
              <w:jc w:val="center"/>
              <w:rPr>
                <w:rFonts w:eastAsia="Calibri" w:cs="Arial"/>
                <w:b/>
                <w:bCs/>
                <w:lang w:eastAsia="pl-PL"/>
              </w:rPr>
            </w:pPr>
            <w:bookmarkStart w:id="220" w:name="_Hlk136849392"/>
            <w:r>
              <w:rPr>
                <w:rFonts w:eastAsia="Calibri" w:cs="Arial"/>
                <w:b/>
                <w:bCs/>
                <w:kern w:val="0"/>
                <w:sz w:val="22"/>
                <w:szCs w:val="22"/>
                <w:lang w:val="pl-PL" w:eastAsia="pl-PL" w:bidi="ar-SA"/>
              </w:rPr>
              <w:t>42 548 979,76</w:t>
            </w:r>
            <w:bookmarkEnd w:id="220"/>
          </w:p>
        </w:tc>
      </w:tr>
    </w:tbl>
    <w:p>
      <w:pPr>
        <w:pStyle w:val="Normal"/>
        <w:rPr>
          <w:b/>
          <w:bCs/>
        </w:rPr>
      </w:pPr>
      <w:r>
        <w:rPr>
          <w:b/>
          <w:bCs/>
        </w:rPr>
      </w:r>
    </w:p>
    <w:p>
      <w:pPr>
        <w:pStyle w:val="Normal"/>
        <w:rPr>
          <w:b/>
          <w:bCs/>
          <w:sz w:val="20"/>
          <w:szCs w:val="20"/>
        </w:rPr>
      </w:pPr>
      <w:r>
        <w:rPr>
          <w:b/>
          <w:bCs/>
          <w:sz w:val="20"/>
          <w:szCs w:val="20"/>
        </w:rPr>
        <w:t>Załącznik nr 3. Złożone wnioski o płatność narastająco</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413"/>
        <w:gridCol w:w="1983"/>
        <w:gridCol w:w="1844"/>
        <w:gridCol w:w="2008"/>
        <w:gridCol w:w="1812"/>
      </w:tblGrid>
      <w:tr>
        <w:trPr/>
        <w:tc>
          <w:tcPr>
            <w:tcW w:w="9060" w:type="dxa"/>
            <w:gridSpan w:val="5"/>
            <w:tcBorders/>
            <w:shd w:color="auto" w:fill="548DD4" w:themeFill="text2" w:themeFillTint="99" w:val="clear"/>
          </w:tcPr>
          <w:p>
            <w:pPr>
              <w:pStyle w:val="Normal"/>
              <w:widowControl/>
              <w:spacing w:before="0" w:after="160"/>
              <w:jc w:val="center"/>
              <w:rPr>
                <w:b/>
                <w:bCs/>
                <w:sz w:val="24"/>
                <w:szCs w:val="24"/>
              </w:rPr>
            </w:pPr>
            <w:r>
              <w:rPr>
                <w:rFonts w:cs=""/>
                <w:b/>
                <w:bCs/>
                <w:kern w:val="0"/>
                <w:sz w:val="24"/>
                <w:szCs w:val="24"/>
                <w:lang w:val="pl-PL" w:eastAsia="en-US" w:bidi="ar-SA"/>
              </w:rPr>
              <w:t>Złożone wnioski o płatność (narastająco)</w:t>
            </w:r>
          </w:p>
        </w:tc>
      </w:tr>
      <w:tr>
        <w:trPr/>
        <w:tc>
          <w:tcPr>
            <w:tcW w:w="9060" w:type="dxa"/>
            <w:gridSpan w:val="5"/>
            <w:tcBorders/>
            <w:shd w:color="auto" w:fill="548DD4" w:themeFill="text2" w:themeFillTint="99" w:val="clear"/>
          </w:tcPr>
          <w:p>
            <w:pPr>
              <w:pStyle w:val="Normal"/>
              <w:widowControl/>
              <w:spacing w:before="0" w:after="160"/>
              <w:jc w:val="center"/>
              <w:rPr>
                <w:b/>
                <w:bCs/>
                <w:sz w:val="24"/>
                <w:szCs w:val="24"/>
              </w:rPr>
            </w:pPr>
            <w:r>
              <w:rPr>
                <w:rFonts w:cs=""/>
                <w:b/>
                <w:bCs/>
                <w:kern w:val="0"/>
                <w:sz w:val="24"/>
                <w:szCs w:val="24"/>
                <w:lang w:val="pl-PL" w:eastAsia="en-US" w:bidi="ar-SA"/>
              </w:rPr>
              <w:t>Cele pośrednie</w:t>
            </w:r>
          </w:p>
        </w:tc>
      </w:tr>
      <w:tr>
        <w:trPr/>
        <w:tc>
          <w:tcPr>
            <w:tcW w:w="1413" w:type="dxa"/>
            <w:vMerge w:val="restart"/>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r>
          </w:p>
          <w:p>
            <w:pPr>
              <w:pStyle w:val="Normal"/>
              <w:widowControl/>
              <w:spacing w:before="0" w:after="160"/>
              <w:jc w:val="center"/>
              <w:rPr>
                <w:b/>
                <w:bCs/>
              </w:rPr>
            </w:pPr>
            <w:r>
              <w:rPr>
                <w:rFonts w:cs=""/>
                <w:b/>
                <w:bCs/>
                <w:kern w:val="0"/>
                <w:sz w:val="22"/>
                <w:szCs w:val="22"/>
                <w:lang w:val="pl-PL" w:eastAsia="en-US" w:bidi="ar-SA"/>
              </w:rPr>
            </w:r>
          </w:p>
          <w:p>
            <w:pPr>
              <w:pStyle w:val="Normal"/>
              <w:widowControl/>
              <w:spacing w:before="0" w:after="160"/>
              <w:jc w:val="center"/>
              <w:rPr>
                <w:b/>
                <w:bCs/>
              </w:rPr>
            </w:pPr>
            <w:r>
              <w:rPr>
                <w:rFonts w:cs=""/>
                <w:b/>
                <w:bCs/>
                <w:kern w:val="0"/>
                <w:sz w:val="22"/>
                <w:szCs w:val="22"/>
                <w:lang w:val="pl-PL" w:eastAsia="en-US" w:bidi="ar-SA"/>
              </w:rPr>
              <w:t>Rok</w:t>
            </w:r>
          </w:p>
        </w:tc>
        <w:tc>
          <w:tcPr>
            <w:tcW w:w="3827" w:type="dxa"/>
            <w:gridSpan w:val="2"/>
            <w:tcBorders/>
          </w:tcPr>
          <w:p>
            <w:pPr>
              <w:pStyle w:val="Normal"/>
              <w:widowControl/>
              <w:spacing w:before="0" w:after="160"/>
              <w:jc w:val="center"/>
              <w:rPr>
                <w:b/>
                <w:bCs/>
              </w:rPr>
            </w:pPr>
            <w:r>
              <w:rPr>
                <w:rFonts w:cs=""/>
                <w:b/>
                <w:bCs/>
                <w:kern w:val="0"/>
                <w:sz w:val="22"/>
                <w:szCs w:val="22"/>
                <w:lang w:val="pl-PL" w:eastAsia="en-US" w:bidi="ar-SA"/>
              </w:rPr>
              <w:t>EFRR</w:t>
            </w:r>
          </w:p>
        </w:tc>
        <w:tc>
          <w:tcPr>
            <w:tcW w:w="3820" w:type="dxa"/>
            <w:gridSpan w:val="2"/>
            <w:tcBorders/>
          </w:tcPr>
          <w:p>
            <w:pPr>
              <w:pStyle w:val="Normal"/>
              <w:widowControl/>
              <w:spacing w:before="0" w:after="160"/>
              <w:jc w:val="center"/>
              <w:rPr>
                <w:b/>
                <w:bCs/>
              </w:rPr>
            </w:pPr>
            <w:r>
              <w:rPr>
                <w:rFonts w:cs=""/>
                <w:b/>
                <w:bCs/>
                <w:kern w:val="0"/>
                <w:sz w:val="22"/>
                <w:szCs w:val="22"/>
                <w:lang w:val="pl-PL" w:eastAsia="en-US" w:bidi="ar-SA"/>
              </w:rPr>
              <w:t>EFS+</w:t>
            </w:r>
          </w:p>
        </w:tc>
      </w:tr>
      <w:tr>
        <w:trPr/>
        <w:tc>
          <w:tcPr>
            <w:tcW w:w="1413" w:type="dxa"/>
            <w:vMerge w:val="continue"/>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r>
          </w:p>
        </w:tc>
        <w:tc>
          <w:tcPr>
            <w:tcW w:w="1983" w:type="dxa"/>
            <w:tcBorders/>
            <w:shd w:color="auto" w:fill="8DB3E2" w:themeFill="text2" w:themeFillTint="66" w:val="clear"/>
          </w:tcPr>
          <w:p>
            <w:pPr>
              <w:pStyle w:val="Normal"/>
              <w:widowControl/>
              <w:spacing w:before="0" w:after="160"/>
              <w:jc w:val="left"/>
              <w:rPr>
                <w:b/>
                <w:bCs/>
              </w:rPr>
            </w:pPr>
            <w:r>
              <w:rPr>
                <w:rFonts w:cs=""/>
                <w:b/>
                <w:bCs/>
                <w:kern w:val="0"/>
                <w:sz w:val="22"/>
                <w:szCs w:val="22"/>
                <w:lang w:val="pl-PL" w:eastAsia="en-US" w:bidi="ar-SA"/>
              </w:rPr>
              <w:t>Procent liczony od wartości środków dedykowanych</w:t>
            </w:r>
          </w:p>
        </w:tc>
        <w:tc>
          <w:tcPr>
            <w:tcW w:w="1844" w:type="dxa"/>
            <w:tcBorders/>
            <w:shd w:color="auto" w:fill="8DB3E2" w:themeFill="text2" w:themeFillTint="66" w:val="clear"/>
          </w:tcPr>
          <w:p>
            <w:pPr>
              <w:pStyle w:val="Normal"/>
              <w:widowControl/>
              <w:spacing w:before="0" w:after="160"/>
              <w:jc w:val="left"/>
              <w:rPr>
                <w:b/>
                <w:bCs/>
              </w:rPr>
            </w:pPr>
            <w:r>
              <w:rPr>
                <w:rFonts w:cs=""/>
                <w:b/>
                <w:bCs/>
                <w:kern w:val="0"/>
                <w:sz w:val="22"/>
                <w:szCs w:val="22"/>
                <w:lang w:val="pl-PL" w:eastAsia="en-US" w:bidi="ar-SA"/>
              </w:rPr>
              <w:t xml:space="preserve">Wartość złożonych wniosków </w:t>
              <w:br/>
              <w:t>o płatność (euro)</w:t>
            </w:r>
          </w:p>
        </w:tc>
        <w:tc>
          <w:tcPr>
            <w:tcW w:w="2008" w:type="dxa"/>
            <w:tcBorders/>
            <w:shd w:color="auto" w:fill="8DB3E2" w:themeFill="text2" w:themeFillTint="66" w:val="clear"/>
          </w:tcPr>
          <w:p>
            <w:pPr>
              <w:pStyle w:val="Normal"/>
              <w:widowControl/>
              <w:spacing w:before="0" w:after="160"/>
              <w:jc w:val="left"/>
              <w:rPr>
                <w:b/>
                <w:bCs/>
              </w:rPr>
            </w:pPr>
            <w:r>
              <w:rPr>
                <w:rFonts w:cs=""/>
                <w:b/>
                <w:bCs/>
                <w:kern w:val="0"/>
                <w:sz w:val="22"/>
                <w:szCs w:val="22"/>
                <w:lang w:val="pl-PL" w:eastAsia="en-US" w:bidi="ar-SA"/>
              </w:rPr>
              <w:t>Procent liczony od wartości środków dedykowanych</w:t>
            </w:r>
          </w:p>
        </w:tc>
        <w:tc>
          <w:tcPr>
            <w:tcW w:w="1812" w:type="dxa"/>
            <w:tcBorders/>
            <w:shd w:color="auto" w:fill="8DB3E2" w:themeFill="text2" w:themeFillTint="66" w:val="clear"/>
          </w:tcPr>
          <w:p>
            <w:pPr>
              <w:pStyle w:val="Normal"/>
              <w:widowControl/>
              <w:spacing w:before="0" w:after="160"/>
              <w:jc w:val="left"/>
              <w:rPr>
                <w:b/>
                <w:bCs/>
              </w:rPr>
            </w:pPr>
            <w:r>
              <w:rPr>
                <w:rFonts w:cs=""/>
                <w:b/>
                <w:bCs/>
                <w:kern w:val="0"/>
                <w:sz w:val="22"/>
                <w:szCs w:val="22"/>
                <w:lang w:val="pl-PL" w:eastAsia="en-US" w:bidi="ar-SA"/>
              </w:rPr>
              <w:t xml:space="preserve">Wartość złożonych wniosków </w:t>
              <w:br/>
              <w:t>o płatność (euro)</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2023</w:t>
            </w:r>
          </w:p>
        </w:tc>
        <w:tc>
          <w:tcPr>
            <w:tcW w:w="1983" w:type="dxa"/>
            <w:tcBorders/>
            <w:shd w:color="auto" w:fill="C6D9F1" w:themeFill="text2" w:themeFillTint="33" w:val="clear"/>
          </w:tcPr>
          <w:p>
            <w:pPr>
              <w:pStyle w:val="Normal"/>
              <w:widowControl/>
              <w:spacing w:before="0" w:after="160"/>
              <w:jc w:val="left"/>
              <w:rPr>
                <w:b/>
                <w:bCs/>
              </w:rPr>
            </w:pPr>
            <w:r>
              <w:rPr>
                <w:rFonts w:cs=""/>
                <w:b/>
                <w:bCs/>
                <w:kern w:val="0"/>
                <w:sz w:val="22"/>
                <w:szCs w:val="22"/>
                <w:lang w:val="pl-PL" w:eastAsia="en-US" w:bidi="ar-SA"/>
              </w:rPr>
            </w:r>
          </w:p>
        </w:tc>
        <w:tc>
          <w:tcPr>
            <w:tcW w:w="1844" w:type="dxa"/>
            <w:tcBorders/>
            <w:shd w:color="auto" w:fill="C6D9F1" w:themeFill="text2" w:themeFillTint="33" w:val="clear"/>
          </w:tcPr>
          <w:p>
            <w:pPr>
              <w:pStyle w:val="Normal"/>
              <w:widowControl/>
              <w:spacing w:before="0" w:after="160"/>
              <w:jc w:val="left"/>
              <w:rPr>
                <w:b/>
                <w:bCs/>
              </w:rPr>
            </w:pPr>
            <w:r>
              <w:rPr>
                <w:rFonts w:cs=""/>
                <w:b/>
                <w:bCs/>
                <w:kern w:val="0"/>
                <w:sz w:val="22"/>
                <w:szCs w:val="22"/>
                <w:lang w:val="pl-PL" w:eastAsia="en-US" w:bidi="ar-SA"/>
              </w:rPr>
            </w:r>
          </w:p>
        </w:tc>
        <w:tc>
          <w:tcPr>
            <w:tcW w:w="2008" w:type="dxa"/>
            <w:tcBorders/>
            <w:shd w:color="auto" w:fill="C6D9F1" w:themeFill="text2" w:themeFillTint="33" w:val="clear"/>
          </w:tcPr>
          <w:p>
            <w:pPr>
              <w:pStyle w:val="Normal"/>
              <w:widowControl/>
              <w:spacing w:before="0" w:after="160"/>
              <w:jc w:val="left"/>
              <w:rPr>
                <w:b/>
                <w:bCs/>
              </w:rPr>
            </w:pPr>
            <w:r>
              <w:rPr>
                <w:rFonts w:cs=""/>
                <w:b/>
                <w:bCs/>
                <w:kern w:val="0"/>
                <w:sz w:val="22"/>
                <w:szCs w:val="22"/>
                <w:lang w:val="pl-PL" w:eastAsia="en-US" w:bidi="ar-SA"/>
              </w:rPr>
            </w:r>
          </w:p>
        </w:tc>
        <w:tc>
          <w:tcPr>
            <w:tcW w:w="1812" w:type="dxa"/>
            <w:tcBorders/>
            <w:shd w:color="auto" w:fill="C6D9F1" w:themeFill="text2" w:themeFillTint="33" w:val="clear"/>
          </w:tcPr>
          <w:p>
            <w:pPr>
              <w:pStyle w:val="Normal"/>
              <w:widowControl/>
              <w:spacing w:before="0" w:after="160"/>
              <w:jc w:val="left"/>
              <w:rPr>
                <w:b/>
                <w:bCs/>
              </w:rPr>
            </w:pPr>
            <w:r>
              <w:rPr>
                <w:rFonts w:cs=""/>
                <w:b/>
                <w:bCs/>
                <w:kern w:val="0"/>
                <w:sz w:val="22"/>
                <w:szCs w:val="22"/>
                <w:lang w:val="pl-PL" w:eastAsia="en-US" w:bidi="ar-SA"/>
              </w:rPr>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2024</w:t>
            </w:r>
          </w:p>
        </w:tc>
        <w:tc>
          <w:tcPr>
            <w:tcW w:w="1983" w:type="dxa"/>
            <w:tcBorders>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6,38%</w:t>
            </w:r>
          </w:p>
        </w:tc>
        <w:tc>
          <w:tcPr>
            <w:tcW w:w="1844" w:type="dxa"/>
            <w:tcBorders>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2 274 557,80</w:t>
            </w:r>
          </w:p>
        </w:tc>
        <w:tc>
          <w:tcPr>
            <w:tcW w:w="2008" w:type="dxa"/>
            <w:tcBorders>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74,30%</w:t>
            </w:r>
          </w:p>
        </w:tc>
        <w:tc>
          <w:tcPr>
            <w:tcW w:w="1812" w:type="dxa"/>
            <w:tcBorders>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4 966 781,72</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2025</w:t>
            </w:r>
          </w:p>
        </w:tc>
        <w:tc>
          <w:tcPr>
            <w:tcW w:w="1983"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82,85%</w:t>
            </w:r>
          </w:p>
        </w:tc>
        <w:tc>
          <w:tcPr>
            <w:tcW w:w="1844"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29 510 814,76</w:t>
            </w:r>
          </w:p>
        </w:tc>
        <w:tc>
          <w:tcPr>
            <w:tcW w:w="2008"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80,66%</w:t>
            </w:r>
          </w:p>
        </w:tc>
        <w:tc>
          <w:tcPr>
            <w:tcW w:w="1812"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5 391 901,72</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2026</w:t>
            </w:r>
          </w:p>
        </w:tc>
        <w:tc>
          <w:tcPr>
            <w:tcW w:w="1983"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94,55%</w:t>
            </w:r>
          </w:p>
        </w:tc>
        <w:tc>
          <w:tcPr>
            <w:tcW w:w="1844"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33 680 296,70</w:t>
            </w:r>
          </w:p>
        </w:tc>
        <w:tc>
          <w:tcPr>
            <w:tcW w:w="2008"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88,15%</w:t>
            </w:r>
          </w:p>
        </w:tc>
        <w:tc>
          <w:tcPr>
            <w:tcW w:w="1812"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5 892 106,85</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2027</w:t>
            </w:r>
          </w:p>
        </w:tc>
        <w:tc>
          <w:tcPr>
            <w:tcW w:w="1983"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98,49%</w:t>
            </w:r>
          </w:p>
        </w:tc>
        <w:tc>
          <w:tcPr>
            <w:tcW w:w="1844"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35 084 871,50</w:t>
            </w:r>
          </w:p>
        </w:tc>
        <w:tc>
          <w:tcPr>
            <w:tcW w:w="2008"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100%</w:t>
            </w:r>
          </w:p>
        </w:tc>
        <w:tc>
          <w:tcPr>
            <w:tcW w:w="1812"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6 683 947,05</w:t>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2028</w:t>
            </w:r>
          </w:p>
        </w:tc>
        <w:tc>
          <w:tcPr>
            <w:tcW w:w="1983"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100%</w:t>
            </w:r>
          </w:p>
        </w:tc>
        <w:tc>
          <w:tcPr>
            <w:tcW w:w="1844"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eastAsia="Calibri" w:cs="Arial"/>
                <w:kern w:val="0"/>
                <w:sz w:val="22"/>
                <w:szCs w:val="22"/>
                <w:lang w:val="pl-PL" w:eastAsia="pl-PL" w:bidi="ar-SA"/>
              </w:rPr>
              <w:t>35 619 512,95</w:t>
            </w:r>
          </w:p>
        </w:tc>
        <w:tc>
          <w:tcPr>
            <w:tcW w:w="2008" w:type="dxa"/>
            <w:tcBorders>
              <w:top w:val="nil"/>
              <w:left w:val="single" w:sz="8" w:space="0" w:color="000000"/>
            </w:tcBorders>
            <w:shd w:color="auto" w:fill="FFFFFF" w:themeFill="background1" w:val="clear"/>
            <w:vAlign w:val="center"/>
          </w:tcPr>
          <w:p>
            <w:pPr>
              <w:pStyle w:val="Normal"/>
              <w:widowControl/>
              <w:spacing w:before="0" w:after="160"/>
              <w:jc w:val="center"/>
              <w:rPr>
                <w:b/>
                <w:bCs/>
              </w:rPr>
            </w:pPr>
            <w:r>
              <w:rPr>
                <w:rFonts w:cs=""/>
                <w:b/>
                <w:bCs/>
                <w:kern w:val="0"/>
                <w:sz w:val="22"/>
                <w:szCs w:val="22"/>
                <w:lang w:val="pl-PL" w:eastAsia="en-US" w:bidi="ar-SA"/>
              </w:rPr>
            </w:r>
          </w:p>
        </w:tc>
        <w:tc>
          <w:tcPr>
            <w:tcW w:w="1812" w:type="dxa"/>
            <w:tcBorders>
              <w:top w:val="nil"/>
              <w:left w:val="nil"/>
              <w:right w:val="single" w:sz="8" w:space="0" w:color="000000"/>
            </w:tcBorders>
            <w:shd w:color="auto" w:fill="FFFFFF" w:themeFill="background1" w:val="clear"/>
            <w:vAlign w:val="center"/>
          </w:tcPr>
          <w:p>
            <w:pPr>
              <w:pStyle w:val="Normal"/>
              <w:widowControl/>
              <w:spacing w:before="0" w:after="160"/>
              <w:jc w:val="center"/>
              <w:rPr>
                <w:b/>
                <w:bCs/>
              </w:rPr>
            </w:pPr>
            <w:r>
              <w:rPr>
                <w:rFonts w:cs=""/>
                <w:b/>
                <w:bCs/>
                <w:kern w:val="0"/>
                <w:sz w:val="22"/>
                <w:szCs w:val="22"/>
                <w:lang w:val="pl-PL" w:eastAsia="en-US" w:bidi="ar-SA"/>
              </w:rPr>
            </w:r>
          </w:p>
        </w:tc>
      </w:tr>
      <w:tr>
        <w:trPr/>
        <w:tc>
          <w:tcPr>
            <w:tcW w:w="1413" w:type="dxa"/>
            <w:tcBorders/>
            <w:shd w:color="auto" w:fill="8DB3E2" w:themeFill="text2" w:themeFillTint="66" w:val="clear"/>
          </w:tcPr>
          <w:p>
            <w:pPr>
              <w:pStyle w:val="Normal"/>
              <w:widowControl/>
              <w:spacing w:before="0" w:after="160"/>
              <w:jc w:val="center"/>
              <w:rPr>
                <w:b/>
                <w:bCs/>
              </w:rPr>
            </w:pPr>
            <w:r>
              <w:rPr>
                <w:rFonts w:cs=""/>
                <w:b/>
                <w:bCs/>
                <w:kern w:val="0"/>
                <w:sz w:val="22"/>
                <w:szCs w:val="22"/>
                <w:lang w:val="pl-PL" w:eastAsia="en-US" w:bidi="ar-SA"/>
              </w:rPr>
              <w:t>2029</w:t>
            </w:r>
          </w:p>
        </w:tc>
        <w:tc>
          <w:tcPr>
            <w:tcW w:w="1983" w:type="dxa"/>
            <w:tcBorders/>
          </w:tcPr>
          <w:p>
            <w:pPr>
              <w:pStyle w:val="Normal"/>
              <w:widowControl/>
              <w:spacing w:before="0" w:after="160"/>
              <w:jc w:val="center"/>
              <w:rPr>
                <w:b/>
                <w:bCs/>
              </w:rPr>
            </w:pPr>
            <w:r>
              <w:rPr>
                <w:rFonts w:cs=""/>
                <w:b/>
                <w:bCs/>
                <w:kern w:val="0"/>
                <w:sz w:val="22"/>
                <w:szCs w:val="22"/>
                <w:lang w:val="pl-PL" w:eastAsia="en-US" w:bidi="ar-SA"/>
              </w:rPr>
            </w:r>
          </w:p>
        </w:tc>
        <w:tc>
          <w:tcPr>
            <w:tcW w:w="1844" w:type="dxa"/>
            <w:tcBorders/>
          </w:tcPr>
          <w:p>
            <w:pPr>
              <w:pStyle w:val="Normal"/>
              <w:widowControl/>
              <w:spacing w:before="0" w:after="160"/>
              <w:jc w:val="center"/>
              <w:rPr>
                <w:b/>
                <w:bCs/>
              </w:rPr>
            </w:pPr>
            <w:r>
              <w:rPr>
                <w:rFonts w:cs=""/>
                <w:b/>
                <w:bCs/>
                <w:kern w:val="0"/>
                <w:sz w:val="22"/>
                <w:szCs w:val="22"/>
                <w:lang w:val="pl-PL" w:eastAsia="en-US" w:bidi="ar-SA"/>
              </w:rPr>
            </w:r>
          </w:p>
        </w:tc>
        <w:tc>
          <w:tcPr>
            <w:tcW w:w="2008" w:type="dxa"/>
            <w:tcBorders/>
          </w:tcPr>
          <w:p>
            <w:pPr>
              <w:pStyle w:val="Normal"/>
              <w:widowControl/>
              <w:spacing w:before="0" w:after="160"/>
              <w:jc w:val="center"/>
              <w:rPr>
                <w:b/>
                <w:bCs/>
              </w:rPr>
            </w:pPr>
            <w:r>
              <w:rPr>
                <w:rFonts w:cs=""/>
                <w:b/>
                <w:bCs/>
                <w:kern w:val="0"/>
                <w:sz w:val="22"/>
                <w:szCs w:val="22"/>
                <w:lang w:val="pl-PL" w:eastAsia="en-US" w:bidi="ar-SA"/>
              </w:rPr>
            </w:r>
          </w:p>
        </w:tc>
        <w:tc>
          <w:tcPr>
            <w:tcW w:w="1812" w:type="dxa"/>
            <w:tcBorders/>
          </w:tcPr>
          <w:p>
            <w:pPr>
              <w:pStyle w:val="Normal"/>
              <w:widowControl/>
              <w:spacing w:before="0" w:after="160"/>
              <w:jc w:val="center"/>
              <w:rPr>
                <w:b/>
                <w:bCs/>
              </w:rPr>
            </w:pPr>
            <w:r>
              <w:rPr>
                <w:rFonts w:cs=""/>
                <w:b/>
                <w:bCs/>
                <w:kern w:val="0"/>
                <w:sz w:val="22"/>
                <w:szCs w:val="22"/>
                <w:lang w:val="pl-PL" w:eastAsia="en-US" w:bidi="ar-SA"/>
              </w:rPr>
            </w:r>
          </w:p>
        </w:tc>
      </w:tr>
      <w:tr>
        <w:trPr/>
        <w:tc>
          <w:tcPr>
            <w:tcW w:w="1413" w:type="dxa"/>
            <w:tcBorders/>
            <w:shd w:color="auto" w:fill="548DD4" w:themeFill="text2" w:themeFillTint="99" w:val="clear"/>
          </w:tcPr>
          <w:p>
            <w:pPr>
              <w:pStyle w:val="Normal"/>
              <w:widowControl/>
              <w:spacing w:before="0" w:after="160"/>
              <w:jc w:val="center"/>
              <w:rPr>
                <w:b/>
                <w:bCs/>
              </w:rPr>
            </w:pPr>
            <w:r>
              <w:rPr>
                <w:rFonts w:cs=""/>
                <w:b/>
                <w:bCs/>
                <w:kern w:val="0"/>
                <w:sz w:val="22"/>
                <w:szCs w:val="22"/>
                <w:lang w:val="pl-PL" w:eastAsia="en-US" w:bidi="ar-SA"/>
              </w:rPr>
              <w:t>Cel końcowy</w:t>
            </w:r>
          </w:p>
        </w:tc>
        <w:tc>
          <w:tcPr>
            <w:tcW w:w="3827" w:type="dxa"/>
            <w:gridSpan w:val="2"/>
            <w:tcBorders/>
            <w:shd w:color="auto" w:fill="548DD4" w:themeFill="text2" w:themeFillTint="99" w:val="clear"/>
          </w:tcPr>
          <w:p>
            <w:pPr>
              <w:pStyle w:val="Normal"/>
              <w:widowControl/>
              <w:spacing w:before="0" w:after="160"/>
              <w:jc w:val="center"/>
              <w:rPr>
                <w:b/>
                <w:bCs/>
              </w:rPr>
            </w:pPr>
            <w:r>
              <w:rPr>
                <w:rFonts w:cs=""/>
                <w:b/>
                <w:bCs/>
                <w:kern w:val="0"/>
                <w:sz w:val="22"/>
                <w:szCs w:val="22"/>
                <w:lang w:val="pl-PL" w:eastAsia="en-US" w:bidi="ar-SA"/>
              </w:rPr>
              <w:t>35 619 512,95</w:t>
            </w:r>
          </w:p>
        </w:tc>
        <w:tc>
          <w:tcPr>
            <w:tcW w:w="3820" w:type="dxa"/>
            <w:gridSpan w:val="2"/>
            <w:tcBorders/>
            <w:shd w:color="auto" w:fill="548DD4" w:themeFill="text2" w:themeFillTint="99" w:val="clear"/>
          </w:tcPr>
          <w:p>
            <w:pPr>
              <w:pStyle w:val="Normal"/>
              <w:widowControl/>
              <w:spacing w:before="0" w:after="160"/>
              <w:jc w:val="center"/>
              <w:rPr>
                <w:b/>
                <w:bCs/>
              </w:rPr>
            </w:pPr>
            <w:r>
              <w:rPr>
                <w:rFonts w:cs=""/>
                <w:b/>
                <w:bCs/>
                <w:kern w:val="0"/>
                <w:sz w:val="22"/>
                <w:szCs w:val="22"/>
                <w:lang w:val="pl-PL" w:eastAsia="en-US" w:bidi="ar-SA"/>
              </w:rPr>
              <w:t>6 683 947,05</w:t>
            </w:r>
          </w:p>
        </w:tc>
      </w:tr>
    </w:tbl>
    <w:p>
      <w:pPr>
        <w:sectPr>
          <w:headerReference w:type="default" r:id="rId53"/>
          <w:headerReference w:type="first" r:id="rId54"/>
          <w:footerReference w:type="default" r:id="rId55"/>
          <w:footerReference w:type="first" r:id="rId56"/>
          <w:footnotePr>
            <w:numFmt w:val="decimal"/>
          </w:footnotePr>
          <w:type w:val="nextPage"/>
          <w:pgSz w:w="11906" w:h="16838"/>
          <w:pgMar w:left="1418" w:right="1418" w:gutter="0" w:header="283" w:top="1559" w:footer="227" w:bottom="1134"/>
          <w:pgNumType w:fmt="decimal"/>
          <w:formProt w:val="false"/>
          <w:textDirection w:val="lrTb"/>
          <w:docGrid w:type="default" w:linePitch="360" w:charSpace="4096"/>
        </w:sectPr>
      </w:pPr>
    </w:p>
    <w:tbl>
      <w:tblPr>
        <w:tblStyle w:val="Tabela-Siatka"/>
        <w:tblW w:w="15892" w:type="dxa"/>
        <w:jc w:val="left"/>
        <w:tblInd w:w="-299" w:type="dxa"/>
        <w:tblLayout w:type="fixed"/>
        <w:tblCellMar>
          <w:top w:w="0" w:type="dxa"/>
          <w:left w:w="70" w:type="dxa"/>
          <w:bottom w:w="0" w:type="dxa"/>
          <w:right w:w="70" w:type="dxa"/>
        </w:tblCellMar>
        <w:tblLook w:firstRow="0" w:noVBand="0" w:lastRow="0" w:firstColumn="0" w:lastColumn="0" w:noHBand="0" w:val="0000"/>
      </w:tblPr>
      <w:tblGrid>
        <w:gridCol w:w="160"/>
        <w:gridCol w:w="423"/>
        <w:gridCol w:w="1276"/>
        <w:gridCol w:w="1559"/>
        <w:gridCol w:w="1559"/>
        <w:gridCol w:w="1842"/>
        <w:gridCol w:w="1134"/>
        <w:gridCol w:w="846"/>
        <w:gridCol w:w="572"/>
        <w:gridCol w:w="1418"/>
        <w:gridCol w:w="1559"/>
        <w:gridCol w:w="1417"/>
        <w:gridCol w:w="1135"/>
        <w:gridCol w:w="991"/>
      </w:tblGrid>
      <w:tr>
        <w:trPr>
          <w:trHeight w:val="705" w:hRule="atLeast"/>
        </w:trPr>
        <w:tc>
          <w:tcPr>
            <w:tcW w:w="160" w:type="dxa"/>
            <w:tcBorders>
              <w:top w:val="nil"/>
              <w:left w:val="nil"/>
              <w:bottom w:val="nil"/>
              <w:right w:val="nil"/>
            </w:tcBorders>
          </w:tcPr>
          <w:p>
            <w:pPr>
              <w:pStyle w:val="Nagwek1"/>
              <w:widowControl/>
              <w:numPr>
                <w:ilvl w:val="0"/>
                <w:numId w:val="0"/>
              </w:numPr>
              <w:spacing w:before="0" w:after="280"/>
              <w:ind w:left="283" w:hanging="0"/>
              <w:rPr>
                <w:rFonts w:ascii="Calibri" w:hAnsi="Calibri"/>
                <w:kern w:val="0"/>
                <w:lang w:val="pl-PL" w:eastAsia="en-US" w:bidi="ar-SA"/>
              </w:rPr>
            </w:pPr>
            <w:r>
              <w:rPr>
                <w:kern w:val="0"/>
                <w:lang w:val="pl-PL" w:eastAsia="en-US" w:bidi="ar-SA"/>
              </w:rPr>
            </w:r>
          </w:p>
        </w:tc>
        <w:tc>
          <w:tcPr>
            <w:tcW w:w="15731" w:type="dxa"/>
            <w:gridSpan w:val="13"/>
            <w:tcBorders>
              <w:top w:val="nil"/>
              <w:left w:val="nil"/>
              <w:bottom w:val="nil"/>
              <w:right w:val="nil"/>
            </w:tcBorders>
          </w:tcPr>
          <w:p>
            <w:pPr>
              <w:pStyle w:val="Nagwek1"/>
              <w:widowControl/>
              <w:numPr>
                <w:ilvl w:val="0"/>
                <w:numId w:val="58"/>
              </w:numPr>
              <w:tabs>
                <w:tab w:val="clear" w:pos="680"/>
                <w:tab w:val="left" w:pos="784" w:leader="none"/>
              </w:tabs>
              <w:spacing w:before="0" w:after="280"/>
              <w:ind w:left="359" w:hanging="360"/>
              <w:jc w:val="left"/>
              <w:rPr>
                <w:rFonts w:ascii="Calibri" w:hAnsi="Calibri"/>
                <w:kern w:val="0"/>
                <w:lang w:val="pl-PL" w:eastAsia="en-US" w:bidi="ar-SA"/>
              </w:rPr>
            </w:pPr>
            <w:bookmarkStart w:id="221" w:name="_Toc143161935"/>
            <w:bookmarkStart w:id="222" w:name="_Hlk134098332"/>
            <w:bookmarkStart w:id="223" w:name="_Hlk134172260"/>
            <w:r>
              <w:rPr>
                <w:kern w:val="0"/>
                <w:lang w:val="pl-PL" w:eastAsia="en-US" w:bidi="ar-SA"/>
              </w:rPr>
              <w:t>Plan finansowy wraz z określeniem źródeł finansowania projektów</w:t>
            </w:r>
            <w:bookmarkEnd w:id="221"/>
            <w:bookmarkEnd w:id="222"/>
            <w:bookmarkEnd w:id="223"/>
          </w:p>
        </w:tc>
      </w:tr>
      <w:tr>
        <w:trPr>
          <w:trHeight w:val="330" w:hRule="atLeast"/>
        </w:trPr>
        <w:tc>
          <w:tcPr>
            <w:tcW w:w="8799" w:type="dxa"/>
            <w:gridSpan w:val="8"/>
            <w:tcBorders>
              <w:top w:val="nil"/>
              <w:left w:val="nil"/>
              <w:bottom w:val="nil"/>
              <w:right w:val="nil"/>
            </w:tcBorders>
          </w:tcPr>
          <w:p>
            <w:pPr>
              <w:pStyle w:val="Normal"/>
              <w:widowControl/>
              <w:spacing w:before="0" w:after="160"/>
              <w:jc w:val="left"/>
              <w:rPr>
                <w:b/>
                <w:bCs/>
              </w:rPr>
            </w:pPr>
            <w:r>
              <w:rPr>
                <w:rFonts w:cs=""/>
                <w:b/>
                <w:bCs/>
                <w:kern w:val="0"/>
                <w:sz w:val="22"/>
                <w:szCs w:val="22"/>
                <w:lang w:val="pl-PL" w:eastAsia="en-US" w:bidi="ar-SA"/>
              </w:rPr>
              <w:t>Załącznik nr 4. Plan finansowy</w:t>
            </w:r>
          </w:p>
        </w:tc>
        <w:tc>
          <w:tcPr>
            <w:tcW w:w="572" w:type="dxa"/>
            <w:tcBorders>
              <w:top w:val="nil"/>
              <w:left w:val="nil"/>
              <w:bottom w:val="nil"/>
              <w:right w:val="nil"/>
            </w:tcBorders>
          </w:tcPr>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1418" w:type="dxa"/>
            <w:tcBorders>
              <w:top w:val="nil"/>
              <w:left w:val="nil"/>
              <w:bottom w:val="nil"/>
              <w:right w:val="nil"/>
            </w:tcBorders>
          </w:tcPr>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1559" w:type="dxa"/>
            <w:tcBorders>
              <w:top w:val="nil"/>
              <w:left w:val="nil"/>
              <w:bottom w:val="nil"/>
              <w:right w:val="nil"/>
            </w:tcBorders>
          </w:tcPr>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1417" w:type="dxa"/>
            <w:tcBorders>
              <w:top w:val="nil"/>
              <w:left w:val="nil"/>
              <w:bottom w:val="nil"/>
              <w:right w:val="nil"/>
            </w:tcBorders>
          </w:tcPr>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1135" w:type="dxa"/>
            <w:tcBorders>
              <w:top w:val="nil"/>
              <w:left w:val="nil"/>
              <w:bottom w:val="nil"/>
              <w:right w:val="nil"/>
            </w:tcBorders>
          </w:tcPr>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c>
          <w:tcPr>
            <w:tcW w:w="991" w:type="dxa"/>
            <w:tcBorders>
              <w:top w:val="nil"/>
              <w:left w:val="nil"/>
              <w:bottom w:val="nil"/>
              <w:right w:val="nil"/>
            </w:tcBorders>
          </w:tcPr>
          <w:p>
            <w:pPr>
              <w:pStyle w:val="Normal"/>
              <w:widowControl/>
              <w:spacing w:before="0" w:after="160"/>
              <w:jc w:val="left"/>
              <w:rPr>
                <w:rFonts w:ascii="Calibri" w:hAnsi="Calibri" w:cs=""/>
                <w:kern w:val="0"/>
                <w:sz w:val="22"/>
                <w:szCs w:val="22"/>
                <w:lang w:val="pl-PL" w:eastAsia="en-US" w:bidi="ar-SA"/>
              </w:rPr>
            </w:pPr>
            <w:r>
              <w:rPr>
                <w:rFonts w:cs=""/>
                <w:kern w:val="0"/>
                <w:sz w:val="22"/>
                <w:szCs w:val="22"/>
                <w:lang w:val="pl-PL" w:eastAsia="en-US" w:bidi="ar-SA"/>
              </w:rPr>
            </w:r>
          </w:p>
        </w:tc>
      </w:tr>
      <w:tr>
        <w:trPr>
          <w:trHeight w:val="693" w:hRule="atLeast"/>
        </w:trPr>
        <w:tc>
          <w:tcPr>
            <w:tcW w:w="583" w:type="dxa"/>
            <w:gridSpan w:val="2"/>
            <w:vMerge w:val="restart"/>
            <w:tcBorders/>
            <w:shd w:color="auto" w:fill="8DB3E2" w:themeFill="text2" w:themeFillTint="66" w:val="clear"/>
          </w:tcPr>
          <w:p>
            <w:pPr>
              <w:pStyle w:val="Normal"/>
              <w:widowControl/>
              <w:spacing w:before="0" w:after="0"/>
              <w:jc w:val="center"/>
              <w:rPr>
                <w:b/>
                <w:bCs/>
                <w:sz w:val="20"/>
                <w:szCs w:val="20"/>
              </w:rPr>
            </w:pPr>
            <w:r>
              <w:rPr>
                <w:rFonts w:cs=""/>
                <w:b/>
                <w:bCs/>
                <w:kern w:val="0"/>
                <w:sz w:val="20"/>
                <w:szCs w:val="20"/>
                <w:lang w:val="pl-PL" w:eastAsia="en-US" w:bidi="ar-SA"/>
              </w:rPr>
            </w:r>
          </w:p>
          <w:p>
            <w:pPr>
              <w:pStyle w:val="Normal"/>
              <w:widowControl/>
              <w:spacing w:before="0" w:after="0"/>
              <w:jc w:val="center"/>
              <w:rPr>
                <w:b/>
                <w:bCs/>
                <w:sz w:val="20"/>
                <w:szCs w:val="20"/>
              </w:rPr>
            </w:pPr>
            <w:r>
              <w:rPr>
                <w:rFonts w:cs=""/>
                <w:b/>
                <w:bCs/>
                <w:kern w:val="0"/>
                <w:sz w:val="20"/>
                <w:szCs w:val="20"/>
                <w:lang w:val="pl-PL" w:eastAsia="en-US" w:bidi="ar-SA"/>
              </w:rPr>
              <w:t>Lp.</w:t>
            </w:r>
          </w:p>
          <w:p>
            <w:pPr>
              <w:pStyle w:val="Normal"/>
              <w:widowControl/>
              <w:spacing w:before="0" w:after="0"/>
              <w:jc w:val="center"/>
              <w:rPr>
                <w:b/>
                <w:bCs/>
                <w:sz w:val="20"/>
                <w:szCs w:val="20"/>
              </w:rPr>
            </w:pPr>
            <w:r>
              <w:rPr>
                <w:rFonts w:cs=""/>
                <w:b/>
                <w:bCs/>
                <w:kern w:val="0"/>
                <w:sz w:val="20"/>
                <w:szCs w:val="20"/>
                <w:lang w:val="pl-PL" w:eastAsia="en-US" w:bidi="ar-SA"/>
              </w:rPr>
              <w:t>Nr</w:t>
            </w:r>
          </w:p>
          <w:p>
            <w:pPr>
              <w:pStyle w:val="Normal"/>
              <w:widowControl/>
              <w:spacing w:before="0" w:after="0"/>
              <w:jc w:val="center"/>
              <w:rPr>
                <w:b/>
                <w:bCs/>
                <w:sz w:val="20"/>
                <w:szCs w:val="20"/>
              </w:rPr>
            </w:pPr>
            <w:r>
              <w:rPr>
                <w:rFonts w:cs=""/>
                <w:b/>
                <w:bCs/>
                <w:kern w:val="0"/>
                <w:sz w:val="20"/>
                <w:szCs w:val="20"/>
                <w:lang w:val="pl-PL" w:eastAsia="en-US" w:bidi="ar-SA"/>
              </w:rPr>
              <w:t>fiszki</w:t>
            </w:r>
          </w:p>
        </w:tc>
        <w:tc>
          <w:tcPr>
            <w:tcW w:w="1276" w:type="dxa"/>
            <w:vMerge w:val="restart"/>
            <w:tcBorders/>
            <w:shd w:color="auto" w:fill="8DB3E2" w:themeFill="text2" w:themeFillTint="66" w:val="clear"/>
          </w:tcPr>
          <w:p>
            <w:pPr>
              <w:pStyle w:val="Normal"/>
              <w:widowControl/>
              <w:spacing w:before="0" w:after="0"/>
              <w:jc w:val="center"/>
              <w:rPr>
                <w:b/>
                <w:bCs/>
                <w:sz w:val="20"/>
                <w:szCs w:val="20"/>
              </w:rPr>
            </w:pPr>
            <w:r>
              <w:rPr>
                <w:rFonts w:cs=""/>
                <w:b/>
                <w:bCs/>
                <w:kern w:val="0"/>
                <w:sz w:val="20"/>
                <w:szCs w:val="20"/>
                <w:lang w:val="pl-PL" w:eastAsia="en-US" w:bidi="ar-SA"/>
              </w:rPr>
            </w:r>
          </w:p>
          <w:p>
            <w:pPr>
              <w:pStyle w:val="Normal"/>
              <w:widowControl/>
              <w:spacing w:before="0" w:after="0"/>
              <w:jc w:val="center"/>
              <w:rPr>
                <w:b/>
                <w:bCs/>
                <w:sz w:val="20"/>
                <w:szCs w:val="20"/>
              </w:rPr>
            </w:pPr>
            <w:r>
              <w:rPr>
                <w:rFonts w:cs=""/>
                <w:b/>
                <w:bCs/>
                <w:kern w:val="0"/>
                <w:sz w:val="20"/>
                <w:szCs w:val="20"/>
                <w:lang w:val="pl-PL" w:eastAsia="en-US" w:bidi="ar-SA"/>
              </w:rPr>
              <w:t>Beneficjent</w:t>
            </w:r>
          </w:p>
        </w:tc>
        <w:tc>
          <w:tcPr>
            <w:tcW w:w="1559" w:type="dxa"/>
            <w:vMerge w:val="restart"/>
            <w:tcBorders/>
            <w:shd w:color="auto" w:fill="8DB3E2" w:themeFill="text2" w:themeFillTint="66" w:val="clear"/>
          </w:tcPr>
          <w:p>
            <w:pPr>
              <w:pStyle w:val="Normal"/>
              <w:widowControl/>
              <w:spacing w:before="0" w:after="0"/>
              <w:jc w:val="center"/>
              <w:rPr>
                <w:b/>
                <w:bCs/>
                <w:sz w:val="20"/>
                <w:szCs w:val="20"/>
              </w:rPr>
            </w:pPr>
            <w:r>
              <w:rPr>
                <w:rFonts w:cs=""/>
                <w:b/>
                <w:bCs/>
                <w:kern w:val="0"/>
                <w:sz w:val="20"/>
                <w:szCs w:val="20"/>
                <w:lang w:val="pl-PL" w:eastAsia="en-US" w:bidi="ar-SA"/>
              </w:rPr>
            </w:r>
          </w:p>
          <w:p>
            <w:pPr>
              <w:pStyle w:val="Normal"/>
              <w:widowControl/>
              <w:spacing w:before="0" w:after="0"/>
              <w:jc w:val="center"/>
              <w:rPr>
                <w:b/>
                <w:bCs/>
                <w:sz w:val="20"/>
                <w:szCs w:val="20"/>
              </w:rPr>
            </w:pPr>
            <w:r>
              <w:rPr>
                <w:rFonts w:cs=""/>
                <w:b/>
                <w:bCs/>
                <w:kern w:val="0"/>
                <w:sz w:val="20"/>
                <w:szCs w:val="20"/>
                <w:lang w:val="pl-PL" w:eastAsia="en-US" w:bidi="ar-SA"/>
              </w:rPr>
              <w:t>Nazwa Projektu</w:t>
            </w:r>
          </w:p>
        </w:tc>
        <w:tc>
          <w:tcPr>
            <w:tcW w:w="1559" w:type="dxa"/>
            <w:vMerge w:val="restart"/>
            <w:tcBorders/>
            <w:shd w:color="auto" w:fill="8DB3E2" w:themeFill="text2" w:themeFillTint="66" w:val="clear"/>
          </w:tcPr>
          <w:p>
            <w:pPr>
              <w:pStyle w:val="Normal"/>
              <w:widowControl/>
              <w:spacing w:before="0" w:after="0"/>
              <w:jc w:val="center"/>
              <w:rPr>
                <w:b/>
                <w:bCs/>
                <w:sz w:val="20"/>
                <w:szCs w:val="20"/>
              </w:rPr>
            </w:pPr>
            <w:r>
              <w:rPr>
                <w:rFonts w:cs=""/>
                <w:b/>
                <w:bCs/>
                <w:kern w:val="0"/>
                <w:sz w:val="20"/>
                <w:szCs w:val="20"/>
                <w:lang w:val="pl-PL" w:eastAsia="en-US" w:bidi="ar-SA"/>
              </w:rPr>
            </w:r>
          </w:p>
          <w:p>
            <w:pPr>
              <w:pStyle w:val="Normal"/>
              <w:widowControl/>
              <w:spacing w:before="0" w:after="0"/>
              <w:jc w:val="center"/>
              <w:rPr>
                <w:b/>
                <w:bCs/>
                <w:sz w:val="20"/>
                <w:szCs w:val="20"/>
              </w:rPr>
            </w:pPr>
            <w:r>
              <w:rPr>
                <w:rFonts w:cs=""/>
                <w:b/>
                <w:bCs/>
                <w:kern w:val="0"/>
                <w:sz w:val="20"/>
                <w:szCs w:val="20"/>
                <w:lang w:val="pl-PL" w:eastAsia="en-US" w:bidi="ar-SA"/>
              </w:rPr>
              <w:t>Koszt całkowity (EURO)</w:t>
            </w:r>
          </w:p>
        </w:tc>
        <w:tc>
          <w:tcPr>
            <w:tcW w:w="1842" w:type="dxa"/>
            <w:vMerge w:val="restart"/>
            <w:tcBorders/>
            <w:shd w:color="auto" w:fill="8DB3E2" w:themeFill="text2" w:themeFillTint="66" w:val="clear"/>
          </w:tcPr>
          <w:p>
            <w:pPr>
              <w:pStyle w:val="Normal"/>
              <w:widowControl/>
              <w:spacing w:before="0" w:after="0"/>
              <w:jc w:val="center"/>
              <w:rPr>
                <w:b/>
                <w:bCs/>
                <w:sz w:val="20"/>
                <w:szCs w:val="20"/>
              </w:rPr>
            </w:pPr>
            <w:r>
              <w:rPr>
                <w:rFonts w:cs=""/>
                <w:b/>
                <w:bCs/>
                <w:kern w:val="0"/>
                <w:sz w:val="20"/>
                <w:szCs w:val="20"/>
                <w:lang w:val="pl-PL" w:eastAsia="en-US" w:bidi="ar-SA"/>
              </w:rPr>
            </w:r>
          </w:p>
          <w:p>
            <w:pPr>
              <w:pStyle w:val="Normal"/>
              <w:widowControl/>
              <w:spacing w:before="0" w:after="0"/>
              <w:jc w:val="center"/>
              <w:rPr>
                <w:b/>
                <w:bCs/>
                <w:sz w:val="20"/>
                <w:szCs w:val="20"/>
              </w:rPr>
            </w:pPr>
            <w:r>
              <w:rPr>
                <w:rFonts w:cs=""/>
                <w:b/>
                <w:bCs/>
                <w:kern w:val="0"/>
                <w:sz w:val="20"/>
                <w:szCs w:val="20"/>
                <w:lang w:val="pl-PL" w:eastAsia="en-US" w:bidi="ar-SA"/>
              </w:rPr>
              <w:t>Źródła finansowania(wkład UE, środki krajowe, środki własne, budżet państwa)</w:t>
            </w:r>
          </w:p>
        </w:tc>
        <w:tc>
          <w:tcPr>
            <w:tcW w:w="9072" w:type="dxa"/>
            <w:gridSpan w:val="8"/>
            <w:tcBorders/>
            <w:shd w:color="auto" w:fill="8DB3E2" w:themeFill="text2" w:themeFillTint="66" w:val="clear"/>
          </w:tcPr>
          <w:p>
            <w:pPr>
              <w:pStyle w:val="Normal"/>
              <w:widowControl/>
              <w:spacing w:before="0" w:after="0"/>
              <w:ind w:right="360" w:hanging="0"/>
              <w:jc w:val="center"/>
              <w:rPr>
                <w:b/>
                <w:bCs/>
                <w:sz w:val="20"/>
                <w:szCs w:val="20"/>
              </w:rPr>
            </w:pPr>
            <w:r>
              <w:rPr>
                <w:rFonts w:cs=""/>
                <w:b/>
                <w:bCs/>
                <w:kern w:val="0"/>
                <w:sz w:val="20"/>
                <w:szCs w:val="20"/>
                <w:lang w:val="pl-PL" w:eastAsia="en-US" w:bidi="ar-SA"/>
              </w:rPr>
              <w:t>Wydatki planowane w latach</w:t>
            </w:r>
          </w:p>
        </w:tc>
      </w:tr>
      <w:tr>
        <w:trPr>
          <w:trHeight w:val="845" w:hRule="atLeast"/>
        </w:trPr>
        <w:tc>
          <w:tcPr>
            <w:tcW w:w="583" w:type="dxa"/>
            <w:gridSpan w:val="2"/>
            <w:vMerge w:val="continue"/>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r>
          </w:p>
        </w:tc>
        <w:tc>
          <w:tcPr>
            <w:tcW w:w="1276" w:type="dxa"/>
            <w:vMerge w:val="continue"/>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r>
          </w:p>
        </w:tc>
        <w:tc>
          <w:tcPr>
            <w:tcW w:w="1559" w:type="dxa"/>
            <w:vMerge w:val="continue"/>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r>
          </w:p>
        </w:tc>
        <w:tc>
          <w:tcPr>
            <w:tcW w:w="1559" w:type="dxa"/>
            <w:vMerge w:val="continue"/>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r>
          </w:p>
        </w:tc>
        <w:tc>
          <w:tcPr>
            <w:tcW w:w="1842" w:type="dxa"/>
            <w:vMerge w:val="continue"/>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r>
          </w:p>
        </w:tc>
        <w:tc>
          <w:tcPr>
            <w:tcW w:w="1134" w:type="dxa"/>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t>2023r.</w:t>
            </w:r>
          </w:p>
        </w:tc>
        <w:tc>
          <w:tcPr>
            <w:tcW w:w="1418" w:type="dxa"/>
            <w:gridSpan w:val="2"/>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t>2024r.</w:t>
            </w:r>
          </w:p>
        </w:tc>
        <w:tc>
          <w:tcPr>
            <w:tcW w:w="1418" w:type="dxa"/>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t>2025r.</w:t>
            </w:r>
          </w:p>
        </w:tc>
        <w:tc>
          <w:tcPr>
            <w:tcW w:w="1559" w:type="dxa"/>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t>2026r.</w:t>
            </w:r>
          </w:p>
        </w:tc>
        <w:tc>
          <w:tcPr>
            <w:tcW w:w="1417" w:type="dxa"/>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t>2027r.</w:t>
            </w:r>
          </w:p>
        </w:tc>
        <w:tc>
          <w:tcPr>
            <w:tcW w:w="1135" w:type="dxa"/>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t>2028r.</w:t>
            </w:r>
          </w:p>
        </w:tc>
        <w:tc>
          <w:tcPr>
            <w:tcW w:w="991" w:type="dxa"/>
            <w:tcBorders/>
            <w:shd w:color="auto" w:fill="8DB3E2" w:themeFill="text2" w:themeFillTint="66" w:val="clear"/>
          </w:tcPr>
          <w:p>
            <w:pPr>
              <w:pStyle w:val="Normal"/>
              <w:widowControl/>
              <w:spacing w:before="0" w:after="160"/>
              <w:jc w:val="center"/>
              <w:rPr>
                <w:b/>
                <w:bCs/>
                <w:sz w:val="20"/>
                <w:szCs w:val="20"/>
              </w:rPr>
            </w:pPr>
            <w:r>
              <w:rPr>
                <w:rFonts w:cs=""/>
                <w:b/>
                <w:bCs/>
                <w:kern w:val="0"/>
                <w:sz w:val="20"/>
                <w:szCs w:val="20"/>
                <w:lang w:val="pl-PL" w:eastAsia="en-US" w:bidi="ar-SA"/>
              </w:rPr>
              <w:t>2029r.</w:t>
            </w:r>
          </w:p>
        </w:tc>
      </w:tr>
      <w:tr>
        <w:trPr>
          <w:trHeight w:val="391" w:hRule="atLeast"/>
        </w:trPr>
        <w:tc>
          <w:tcPr>
            <w:tcW w:w="15891" w:type="dxa"/>
            <w:gridSpan w:val="14"/>
            <w:tcBorders/>
            <w:shd w:color="auto" w:fill="C6D9F1" w:themeFill="text2" w:themeFillTint="33" w:val="clear"/>
          </w:tcPr>
          <w:p>
            <w:pPr>
              <w:pStyle w:val="Normal"/>
              <w:widowControl/>
              <w:spacing w:before="0" w:after="160"/>
              <w:jc w:val="center"/>
              <w:rPr>
                <w:b/>
                <w:bCs/>
                <w:sz w:val="28"/>
                <w:szCs w:val="28"/>
              </w:rPr>
            </w:pPr>
            <w:r>
              <w:rPr>
                <w:rFonts w:cs=""/>
                <w:b/>
                <w:bCs/>
                <w:kern w:val="0"/>
                <w:sz w:val="28"/>
                <w:szCs w:val="28"/>
                <w:lang w:val="pl-PL" w:eastAsia="en-US" w:bidi="ar-SA"/>
              </w:rPr>
              <w:t>CP1</w:t>
            </w:r>
          </w:p>
        </w:tc>
      </w:tr>
      <w:tr>
        <w:trPr>
          <w:trHeight w:val="796"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w:t>
            </w:r>
          </w:p>
        </w:tc>
        <w:tc>
          <w:tcPr>
            <w:tcW w:w="1276" w:type="dxa"/>
            <w:tcBorders/>
            <w:shd w:color="auto" w:fill="auto" w:val="clear"/>
          </w:tcPr>
          <w:p>
            <w:pPr>
              <w:pStyle w:val="Normal"/>
              <w:widowControl/>
              <w:spacing w:lineRule="auto" w:line="240" w:before="0" w:after="0"/>
              <w:jc w:val="center"/>
              <w:rPr>
                <w:rFonts w:ascii="Calibri" w:hAnsi="Calibri" w:cs="Calibri"/>
                <w:color w:val="000000"/>
                <w:sz w:val="18"/>
                <w:szCs w:val="18"/>
              </w:rPr>
            </w:pPr>
            <w:r>
              <w:rPr>
                <w:rFonts w:cs=""/>
                <w:kern w:val="0"/>
                <w:sz w:val="18"/>
                <w:szCs w:val="18"/>
                <w:lang w:val="pl-PL" w:eastAsia="en-US" w:bidi="ar-SA"/>
              </w:rPr>
              <w:t>Gmina Brześć Kujawski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Sieć Włocławskiego Centrum Biznesu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37 647,05</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32 000,00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5 647,05</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37 647,05</w:t>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836"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w:t>
            </w:r>
          </w:p>
        </w:tc>
        <w:tc>
          <w:tcPr>
            <w:tcW w:w="1276" w:type="dxa"/>
            <w:tcBorders>
              <w:top w:val="nil"/>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Lubraniec</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Sieć Włocławskiego Centrum Biznesu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37 647,00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32 000,00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5 647,00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37 647,00</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730"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w:t>
            </w:r>
          </w:p>
        </w:tc>
        <w:tc>
          <w:tcPr>
            <w:tcW w:w="1276" w:type="dxa"/>
            <w:tcBorders>
              <w:top w:val="nil"/>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Włocławek</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Sieć Włocławskiego Centrum Biznesu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38 235,29</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32 500,00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5 735,29</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38 235,29</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995"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4.</w:t>
            </w:r>
          </w:p>
        </w:tc>
        <w:tc>
          <w:tcPr>
            <w:tcW w:w="1276" w:type="dxa"/>
            <w:tcBorders>
              <w:top w:val="nil"/>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Lubanie</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Sieć Włocławskiego Centrum Biznesu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38 000,00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32 300,00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5 700,00</w:t>
            </w:r>
          </w:p>
        </w:tc>
        <w:tc>
          <w:tcPr>
            <w:tcW w:w="1134"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1 000,00</w:t>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17 424,00</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19 576,00</w:t>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840"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5.</w:t>
            </w:r>
          </w:p>
        </w:tc>
        <w:tc>
          <w:tcPr>
            <w:tcW w:w="1276" w:type="dxa"/>
            <w:tcBorders>
              <w:top w:val="nil"/>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Baruchowo</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Sieć Włocławskiego Centrum Biznesu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65 000,00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32 500,00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32 500,00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65 000,00</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6.</w:t>
            </w:r>
          </w:p>
        </w:tc>
        <w:tc>
          <w:tcPr>
            <w:tcW w:w="1276" w:type="dxa"/>
            <w:tcBorders>
              <w:top w:val="nil"/>
            </w:tcBorders>
            <w:shd w:color="auto" w:fill="auto" w:val="clear"/>
          </w:tcPr>
          <w:p>
            <w:pPr>
              <w:pStyle w:val="Normal"/>
              <w:widowControl/>
              <w:spacing w:lineRule="auto" w:line="240" w:before="0" w:after="0"/>
              <w:jc w:val="center"/>
              <w:rPr>
                <w:rFonts w:ascii="Calibri" w:hAnsi="Calibri" w:cs="Calibri"/>
                <w:sz w:val="18"/>
                <w:szCs w:val="18"/>
              </w:rPr>
            </w:pPr>
            <w:r>
              <w:rPr>
                <w:rFonts w:cs=""/>
                <w:kern w:val="0"/>
                <w:sz w:val="18"/>
                <w:szCs w:val="18"/>
                <w:lang w:val="pl-PL" w:eastAsia="en-US" w:bidi="ar-SA"/>
              </w:rPr>
              <w:t>Gmina Lubień Kujawski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Sieć Włocławskiego Centrum Biznesu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38 236,00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32 500,00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5 736,00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25 000,00</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13 236,00</w:t>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b/>
                <w:szCs w:val="24"/>
              </w:rPr>
            </w:pPr>
            <w:r>
              <w:rPr>
                <w:rFonts w:cs=""/>
                <w:b/>
                <w:kern w:val="0"/>
                <w:sz w:val="22"/>
                <w:szCs w:val="24"/>
                <w:lang w:val="pl-PL" w:eastAsia="en-US" w:bidi="ar-SA"/>
              </w:rPr>
            </w:r>
          </w:p>
          <w:p>
            <w:pPr>
              <w:pStyle w:val="Normal"/>
              <w:widowControl/>
              <w:spacing w:before="0" w:after="0"/>
              <w:jc w:val="left"/>
              <w:rPr>
                <w:b/>
                <w:bCs/>
              </w:rPr>
            </w:pPr>
            <w:r>
              <w:rPr>
                <w:rFonts w:cs=""/>
                <w:b/>
                <w:bCs/>
                <w:kern w:val="0"/>
                <w:sz w:val="22"/>
                <w:szCs w:val="22"/>
                <w:lang w:val="pl-PL" w:eastAsia="en-US" w:bidi="ar-SA"/>
              </w:rPr>
            </w:r>
          </w:p>
        </w:tc>
      </w:tr>
      <w:tr>
        <w:trPr/>
        <w:tc>
          <w:tcPr>
            <w:tcW w:w="583" w:type="dxa"/>
            <w:gridSpan w:val="2"/>
            <w:tcBorders/>
          </w:tcPr>
          <w:p>
            <w:pPr>
              <w:pStyle w:val="Normal"/>
              <w:widowControl/>
              <w:spacing w:lineRule="auto" w:line="240" w:before="0" w:after="160"/>
              <w:jc w:val="left"/>
              <w:rPr>
                <w:rFonts w:cs="Calibri" w:cstheme="minorHAnsi"/>
                <w:sz w:val="18"/>
                <w:szCs w:val="18"/>
              </w:rPr>
            </w:pPr>
            <w:r>
              <w:rPr>
                <w:rFonts w:cs="Calibri" w:cstheme="minorHAnsi"/>
                <w:kern w:val="0"/>
                <w:sz w:val="18"/>
                <w:szCs w:val="18"/>
                <w:lang w:val="pl-PL" w:eastAsia="en-US" w:bidi="ar-SA"/>
              </w:rPr>
              <w:t>7.</w:t>
            </w:r>
          </w:p>
        </w:tc>
        <w:tc>
          <w:tcPr>
            <w:tcW w:w="1276" w:type="dxa"/>
            <w:tcBorders/>
            <w:shd w:color="auto" w:fill="auto" w:val="clear"/>
          </w:tcPr>
          <w:p>
            <w:pPr>
              <w:pStyle w:val="Normal"/>
              <w:widowControl/>
              <w:spacing w:lineRule="auto" w:line="240" w:before="0" w:after="160"/>
              <w:jc w:val="center"/>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Poprawa</w:t>
            </w:r>
          </w:p>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efektywności funkcjonowania obiektu Włocławskiego Inkubatora Innowacji </w:t>
              <w:br/>
              <w:t>i Przedsiębiorczości wraz z wdrożeniem proinnowacyjnych usług doradztwa zaawansowanego i specjalistycznego</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1 469 477,89</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1 249 056,21</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220 421,68</w:t>
            </w:r>
          </w:p>
        </w:tc>
        <w:tc>
          <w:tcPr>
            <w:tcW w:w="1134"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367 369,48</w:t>
            </w:r>
          </w:p>
        </w:tc>
        <w:tc>
          <w:tcPr>
            <w:tcW w:w="1418"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367 369,48</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367 369,48</w:t>
            </w:r>
          </w:p>
        </w:tc>
        <w:tc>
          <w:tcPr>
            <w:tcW w:w="1417"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367 369,45</w:t>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160"/>
              <w:jc w:val="left"/>
              <w:rPr>
                <w:b/>
                <w:szCs w:val="24"/>
              </w:rPr>
            </w:pPr>
            <w:r>
              <w:rPr>
                <w:rFonts w:cs=""/>
                <w:b/>
                <w:kern w:val="0"/>
                <w:sz w:val="22"/>
                <w:szCs w:val="24"/>
                <w:lang w:val="pl-PL" w:eastAsia="en-US" w:bidi="ar-SA"/>
              </w:rPr>
            </w:r>
          </w:p>
          <w:p>
            <w:pPr>
              <w:pStyle w:val="Normal"/>
              <w:widowControl/>
              <w:spacing w:before="0" w:after="160"/>
              <w:jc w:val="left"/>
              <w:rPr>
                <w:b/>
                <w:bCs/>
              </w:rPr>
            </w:pPr>
            <w:r>
              <w:rPr>
                <w:rFonts w:cs=""/>
                <w:b/>
                <w:bCs/>
                <w:kern w:val="0"/>
                <w:sz w:val="22"/>
                <w:szCs w:val="22"/>
                <w:lang w:val="pl-PL" w:eastAsia="en-US" w:bidi="ar-SA"/>
              </w:rPr>
            </w:r>
          </w:p>
        </w:tc>
      </w:tr>
      <w:tr>
        <w:trPr>
          <w:trHeight w:val="1095" w:hRule="atLeast"/>
        </w:trPr>
        <w:tc>
          <w:tcPr>
            <w:tcW w:w="3418" w:type="dxa"/>
            <w:gridSpan w:val="4"/>
            <w:tcBorders/>
            <w:shd w:color="auto" w:fill="8DB3E2" w:themeFill="text2" w:themeFillTint="66" w:val="clear"/>
          </w:tcPr>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shd w:fill="8DB3E2" w:val="clear"/>
                <w:lang w:val="pl-PL" w:eastAsia="en-US" w:bidi="ar-SA"/>
              </w:rPr>
              <w:t>Suma CP1</w:t>
            </w:r>
          </w:p>
        </w:tc>
        <w:tc>
          <w:tcPr>
            <w:tcW w:w="1559" w:type="dxa"/>
            <w:tcBorders/>
            <w:shd w:color="auto" w:fill="8DB3E2" w:themeFill="text2" w:themeFillTint="66" w:val="clear"/>
          </w:tcPr>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1 724 243,23</w:t>
            </w:r>
          </w:p>
        </w:tc>
        <w:tc>
          <w:tcPr>
            <w:tcW w:w="1842" w:type="dxa"/>
            <w:tcBorders/>
            <w:shd w:color="auto" w:fill="8DB3E2" w:themeFill="text2" w:themeFillTint="66" w:val="clear"/>
          </w:tcPr>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 xml:space="preserve">Wkład UE: </w:t>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1 442 856,21</w:t>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Środki własne:</w:t>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281 387,02</w:t>
            </w:r>
          </w:p>
        </w:tc>
        <w:tc>
          <w:tcPr>
            <w:tcW w:w="1134" w:type="dxa"/>
            <w:tcBorders/>
            <w:shd w:color="auto" w:fill="8DB3E2" w:themeFill="text2" w:themeFillTint="66" w:val="clear"/>
          </w:tcPr>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1 000,00</w:t>
            </w:r>
          </w:p>
        </w:tc>
        <w:tc>
          <w:tcPr>
            <w:tcW w:w="1418" w:type="dxa"/>
            <w:gridSpan w:val="2"/>
            <w:tcBorders/>
            <w:shd w:color="auto" w:fill="8DB3E2" w:themeFill="text2" w:themeFillTint="66" w:val="clear"/>
          </w:tcPr>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533 251,77</w:t>
            </w:r>
          </w:p>
        </w:tc>
        <w:tc>
          <w:tcPr>
            <w:tcW w:w="1418" w:type="dxa"/>
            <w:tcBorders/>
            <w:shd w:color="auto" w:fill="8DB3E2" w:themeFill="text2" w:themeFillTint="66" w:val="clear"/>
          </w:tcPr>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398 029,48</w:t>
            </w:r>
          </w:p>
        </w:tc>
        <w:tc>
          <w:tcPr>
            <w:tcW w:w="1559" w:type="dxa"/>
            <w:tcBorders/>
            <w:shd w:color="auto" w:fill="8DB3E2" w:themeFill="text2" w:themeFillTint="66" w:val="clear"/>
          </w:tcPr>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424 592,53</w:t>
            </w:r>
          </w:p>
        </w:tc>
        <w:tc>
          <w:tcPr>
            <w:tcW w:w="1417" w:type="dxa"/>
            <w:tcBorders/>
            <w:shd w:color="auto" w:fill="8DB3E2" w:themeFill="text2" w:themeFillTint="66" w:val="clear"/>
          </w:tcPr>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16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367 369,45</w:t>
            </w:r>
          </w:p>
        </w:tc>
        <w:tc>
          <w:tcPr>
            <w:tcW w:w="1135" w:type="dxa"/>
            <w:tcBorders/>
            <w:shd w:color="auto" w:fill="8DB3E2" w:themeFill="text2" w:themeFillTint="66" w:val="clear"/>
          </w:tcPr>
          <w:p>
            <w:pPr>
              <w:pStyle w:val="Normal"/>
              <w:widowControl/>
              <w:spacing w:lineRule="auto" w:line="240" w:before="0" w:after="160"/>
              <w:jc w:val="left"/>
              <w:rPr>
                <w:rFonts w:cs="Calibri" w:cstheme="minorHAnsi"/>
                <w:b/>
                <w:bCs/>
              </w:rPr>
            </w:pPr>
            <w:r>
              <w:rPr>
                <w:rFonts w:cs="Calibri" w:cstheme="minorHAnsi"/>
                <w:b/>
                <w:bCs/>
                <w:kern w:val="0"/>
                <w:sz w:val="22"/>
                <w:szCs w:val="22"/>
                <w:lang w:val="pl-PL" w:eastAsia="en-US" w:bidi="ar-SA"/>
              </w:rPr>
            </w:r>
          </w:p>
        </w:tc>
        <w:tc>
          <w:tcPr>
            <w:tcW w:w="991" w:type="dxa"/>
            <w:tcBorders/>
            <w:shd w:color="auto" w:fill="8DB3E2" w:themeFill="text2" w:themeFillTint="66" w:val="clear"/>
          </w:tcPr>
          <w:p>
            <w:pPr>
              <w:pStyle w:val="Normal"/>
              <w:widowControl/>
              <w:spacing w:before="0" w:after="160"/>
              <w:jc w:val="left"/>
              <w:rPr>
                <w:b/>
              </w:rPr>
            </w:pPr>
            <w:r>
              <w:rPr>
                <w:rFonts w:cs=""/>
                <w:b/>
                <w:kern w:val="0"/>
                <w:sz w:val="22"/>
                <w:szCs w:val="22"/>
                <w:lang w:val="pl-PL" w:eastAsia="en-US" w:bidi="ar-SA"/>
              </w:rPr>
            </w:r>
          </w:p>
        </w:tc>
      </w:tr>
      <w:tr>
        <w:trPr>
          <w:trHeight w:val="301" w:hRule="atLeast"/>
        </w:trPr>
        <w:tc>
          <w:tcPr>
            <w:tcW w:w="15891" w:type="dxa"/>
            <w:gridSpan w:val="14"/>
            <w:tcBorders/>
            <w:shd w:color="auto" w:fill="C6D9F1" w:themeFill="text2" w:themeFillTint="33" w:val="clear"/>
          </w:tcPr>
          <w:p>
            <w:pPr>
              <w:pStyle w:val="Normal"/>
              <w:widowControl/>
              <w:spacing w:before="0" w:after="160"/>
              <w:jc w:val="center"/>
              <w:rPr>
                <w:b/>
                <w:bCs/>
                <w:sz w:val="28"/>
                <w:szCs w:val="28"/>
              </w:rPr>
            </w:pPr>
            <w:r>
              <w:rPr>
                <w:rFonts w:cs=""/>
                <w:b/>
                <w:bCs/>
                <w:kern w:val="0"/>
                <w:sz w:val="28"/>
                <w:szCs w:val="28"/>
                <w:lang w:val="pl-PL" w:eastAsia="en-US" w:bidi="ar-SA"/>
              </w:rPr>
              <w:t>C</w:t>
            </w:r>
            <w:r>
              <w:rPr>
                <w:rFonts w:cs=""/>
                <w:b/>
                <w:bCs/>
                <w:kern w:val="0"/>
                <w:sz w:val="28"/>
                <w:szCs w:val="28"/>
                <w:shd w:fill="C6D9F1" w:val="clear"/>
                <w:lang w:val="pl-PL" w:eastAsia="en-US" w:bidi="ar-SA"/>
              </w:rPr>
              <w:t>P2</w:t>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w:t>
            </w:r>
          </w:p>
        </w:tc>
        <w:tc>
          <w:tcPr>
            <w:tcW w:w="1276" w:type="dxa"/>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Poprawa funkcjonowania transportu zbiorowego</w:t>
              <w:br/>
              <w:t xml:space="preserve"> w mieście Włocławek poprzez modernizację infrastruktury towarzyszącej trans- portowi zbiorowemu.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3 505 816,14</w:t>
            </w:r>
          </w:p>
        </w:tc>
        <w:tc>
          <w:tcPr>
            <w:tcW w:w="1842" w:type="dxa"/>
            <w:tcBorders/>
          </w:tcPr>
          <w:p>
            <w:pPr>
              <w:pStyle w:val="Normal"/>
              <w:widowControl/>
              <w:spacing w:lineRule="auto" w:line="240" w:before="0" w:after="0"/>
              <w:jc w:val="center"/>
              <w:rPr>
                <w:bCs/>
                <w:sz w:val="18"/>
                <w:szCs w:val="18"/>
              </w:rPr>
            </w:pPr>
            <w:r>
              <w:rPr>
                <w:rFonts w:cs=""/>
                <w:bCs/>
                <w:kern w:val="0"/>
                <w:sz w:val="18"/>
                <w:szCs w:val="18"/>
                <w:lang w:val="pl-PL" w:eastAsia="en-US" w:bidi="ar-SA"/>
              </w:rPr>
              <w:t>Wkład UE: 2 979 943,72</w:t>
            </w:r>
          </w:p>
          <w:p>
            <w:pPr>
              <w:pStyle w:val="Normal"/>
              <w:widowControl/>
              <w:spacing w:lineRule="auto" w:line="240" w:before="0" w:after="0"/>
              <w:jc w:val="center"/>
              <w:rPr>
                <w:bCs/>
                <w:sz w:val="18"/>
                <w:szCs w:val="18"/>
              </w:rPr>
            </w:pPr>
            <w:r>
              <w:rPr>
                <w:rFonts w:cs=""/>
                <w:bCs/>
                <w:kern w:val="0"/>
                <w:sz w:val="18"/>
                <w:szCs w:val="18"/>
                <w:lang w:val="pl-PL" w:eastAsia="en-US" w:bidi="ar-SA"/>
              </w:rPr>
              <w:t xml:space="preserve">Środki własne: </w:t>
            </w:r>
          </w:p>
          <w:p>
            <w:pPr>
              <w:pStyle w:val="Normal"/>
              <w:widowControl/>
              <w:spacing w:lineRule="auto" w:line="240" w:before="0" w:after="0"/>
              <w:jc w:val="center"/>
              <w:rPr>
                <w:rFonts w:cs="Calibri" w:cstheme="minorHAnsi"/>
                <w:b/>
                <w:bCs/>
                <w:sz w:val="18"/>
                <w:szCs w:val="18"/>
              </w:rPr>
            </w:pPr>
            <w:r>
              <w:rPr>
                <w:rFonts w:cs=""/>
                <w:bCs/>
                <w:kern w:val="0"/>
                <w:sz w:val="18"/>
                <w:szCs w:val="18"/>
                <w:lang w:val="pl-PL" w:eastAsia="en-US" w:bidi="ar-SA"/>
              </w:rPr>
              <w:t>525 872,42</w:t>
            </w:r>
          </w:p>
        </w:tc>
        <w:tc>
          <w:tcPr>
            <w:tcW w:w="1134"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1 168 605,38</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1 168 605,38</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1 168 605,38</w:t>
            </w:r>
          </w:p>
        </w:tc>
        <w:tc>
          <w:tcPr>
            <w:tcW w:w="1417"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9.</w:t>
            </w:r>
          </w:p>
        </w:tc>
        <w:tc>
          <w:tcPr>
            <w:tcW w:w="1276" w:type="dxa"/>
            <w:tcBorders>
              <w:top w:val="nil"/>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Budowa</w:t>
              <w:br/>
              <w:t xml:space="preserve"> i przebudowa dróg rowerowych na terenie miasta Włocławek</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5 264 005,04</w:t>
            </w:r>
          </w:p>
        </w:tc>
        <w:tc>
          <w:tcPr>
            <w:tcW w:w="1842" w:type="dxa"/>
            <w:tcBorders/>
          </w:tcPr>
          <w:p>
            <w:pPr>
              <w:pStyle w:val="Normal"/>
              <w:widowControl/>
              <w:spacing w:before="0" w:after="0"/>
              <w:jc w:val="center"/>
              <w:rPr>
                <w:bCs/>
                <w:sz w:val="18"/>
                <w:szCs w:val="18"/>
              </w:rPr>
            </w:pPr>
            <w:r>
              <w:rPr>
                <w:rFonts w:cs=""/>
                <w:bCs/>
                <w:kern w:val="0"/>
                <w:sz w:val="18"/>
                <w:szCs w:val="18"/>
                <w:lang w:val="pl-PL" w:eastAsia="en-US" w:bidi="ar-SA"/>
              </w:rPr>
              <w:t>Wkład UE:  4 474 404,29</w:t>
            </w:r>
          </w:p>
          <w:p>
            <w:pPr>
              <w:pStyle w:val="Normal"/>
              <w:widowControl/>
              <w:spacing w:before="0" w:after="0"/>
              <w:jc w:val="center"/>
              <w:rPr>
                <w:bCs/>
                <w:sz w:val="18"/>
                <w:szCs w:val="18"/>
              </w:rPr>
            </w:pPr>
            <w:r>
              <w:rPr>
                <w:rFonts w:cs=""/>
                <w:bCs/>
                <w:kern w:val="0"/>
                <w:sz w:val="18"/>
                <w:szCs w:val="18"/>
                <w:lang w:val="pl-PL" w:eastAsia="en-US" w:bidi="ar-SA"/>
              </w:rPr>
              <w:t xml:space="preserve">Środki własne: </w:t>
            </w:r>
          </w:p>
          <w:p>
            <w:pPr>
              <w:pStyle w:val="Normal"/>
              <w:widowControl/>
              <w:spacing w:lineRule="auto" w:line="240" w:before="0" w:after="0"/>
              <w:jc w:val="center"/>
              <w:rPr>
                <w:rFonts w:cs="Calibri" w:cstheme="minorHAnsi"/>
                <w:b/>
                <w:bCs/>
                <w:sz w:val="18"/>
                <w:szCs w:val="18"/>
              </w:rPr>
            </w:pPr>
            <w:r>
              <w:rPr>
                <w:rFonts w:cs=""/>
                <w:bCs/>
                <w:kern w:val="0"/>
                <w:sz w:val="18"/>
                <w:szCs w:val="18"/>
                <w:lang w:val="pl-PL" w:eastAsia="en-US" w:bidi="ar-SA"/>
              </w:rPr>
              <w:t>789 600,75</w:t>
            </w:r>
          </w:p>
        </w:tc>
        <w:tc>
          <w:tcPr>
            <w:tcW w:w="1134"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1 754 668,34</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1 754 668,34</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1 754 668,36</w:t>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10.</w:t>
            </w:r>
          </w:p>
        </w:tc>
        <w:tc>
          <w:tcPr>
            <w:tcW w:w="1276" w:type="dxa"/>
            <w:tcBorders>
              <w:top w:val="nil"/>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Tabor na potrzeby czystej komunikacji w mieście Włocławek</w:t>
            </w:r>
          </w:p>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7 414 378,42</w:t>
            </w:r>
          </w:p>
        </w:tc>
        <w:tc>
          <w:tcPr>
            <w:tcW w:w="1842" w:type="dxa"/>
            <w:tcBorders/>
          </w:tcPr>
          <w:p>
            <w:pPr>
              <w:pStyle w:val="Normal"/>
              <w:widowControl/>
              <w:spacing w:before="0" w:after="0"/>
              <w:jc w:val="center"/>
              <w:rPr>
                <w:bCs/>
                <w:sz w:val="18"/>
                <w:szCs w:val="18"/>
              </w:rPr>
            </w:pPr>
            <w:r>
              <w:rPr>
                <w:rFonts w:cs=""/>
                <w:bCs/>
                <w:kern w:val="0"/>
                <w:sz w:val="18"/>
                <w:szCs w:val="18"/>
                <w:lang w:val="pl-PL" w:eastAsia="en-US" w:bidi="ar-SA"/>
              </w:rPr>
              <w:t>Wkład UE:  6 302 221,66</w:t>
            </w:r>
          </w:p>
          <w:p>
            <w:pPr>
              <w:pStyle w:val="Normal"/>
              <w:widowControl/>
              <w:spacing w:before="0" w:after="0"/>
              <w:jc w:val="center"/>
              <w:rPr>
                <w:bCs/>
                <w:sz w:val="18"/>
                <w:szCs w:val="18"/>
              </w:rPr>
            </w:pPr>
            <w:r>
              <w:rPr>
                <w:rFonts w:cs=""/>
                <w:bCs/>
                <w:kern w:val="0"/>
                <w:sz w:val="18"/>
                <w:szCs w:val="18"/>
                <w:lang w:val="pl-PL" w:eastAsia="en-US" w:bidi="ar-SA"/>
              </w:rPr>
              <w:t xml:space="preserve">Środki własne: </w:t>
            </w:r>
          </w:p>
          <w:p>
            <w:pPr>
              <w:pStyle w:val="Normal"/>
              <w:widowControl/>
              <w:spacing w:lineRule="auto" w:line="240" w:before="0" w:after="0"/>
              <w:jc w:val="center"/>
              <w:rPr>
                <w:rFonts w:cs="Calibri" w:cstheme="minorHAnsi"/>
                <w:b/>
                <w:bCs/>
                <w:sz w:val="18"/>
                <w:szCs w:val="18"/>
              </w:rPr>
            </w:pPr>
            <w:r>
              <w:rPr>
                <w:rFonts w:cs=""/>
                <w:bCs/>
                <w:kern w:val="0"/>
                <w:sz w:val="18"/>
                <w:szCs w:val="18"/>
                <w:lang w:val="pl-PL" w:eastAsia="en-US" w:bidi="ar-SA"/>
              </w:rPr>
              <w:t>1 112 156,76</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7 414 378,42</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11.</w:t>
            </w:r>
          </w:p>
        </w:tc>
        <w:tc>
          <w:tcPr>
            <w:tcW w:w="1276" w:type="dxa"/>
            <w:tcBorders/>
            <w:shd w:color="auto" w:fill="auto" w:val="clear"/>
          </w:tcPr>
          <w:p>
            <w:pPr>
              <w:pStyle w:val="Normal"/>
              <w:widowControl/>
              <w:spacing w:before="0" w:after="0"/>
              <w:jc w:val="center"/>
              <w:rPr>
                <w:rFonts w:cs="Calibri" w:cstheme="minorHAnsi"/>
                <w:bCs/>
                <w:color w:val="000000" w:themeColor="text1"/>
                <w:sz w:val="18"/>
                <w:szCs w:val="18"/>
              </w:rPr>
            </w:pPr>
            <w:r>
              <w:rPr>
                <w:rFonts w:cs=""/>
                <w:kern w:val="0"/>
                <w:sz w:val="18"/>
                <w:szCs w:val="18"/>
                <w:lang w:val="pl-PL" w:eastAsia="en-US" w:bidi="ar-SA"/>
              </w:rPr>
              <w:t>Gmina Kowal</w:t>
            </w:r>
          </w:p>
        </w:tc>
        <w:tc>
          <w:tcPr>
            <w:tcW w:w="1559" w:type="dxa"/>
            <w:tcBorders/>
          </w:tcPr>
          <w:p>
            <w:pPr>
              <w:pStyle w:val="Normal"/>
              <w:widowControl/>
              <w:spacing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Kompleksowa modernizacja energetyczna budynku Szkoły Podstawowej w miejscowości Więsławice</w:t>
            </w:r>
          </w:p>
        </w:tc>
        <w:tc>
          <w:tcPr>
            <w:tcW w:w="1559"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249 430,12</w:t>
            </w:r>
          </w:p>
        </w:tc>
        <w:tc>
          <w:tcPr>
            <w:tcW w:w="1842" w:type="dxa"/>
            <w:tcBorders/>
          </w:tcPr>
          <w:p>
            <w:pPr>
              <w:pStyle w:val="Normal"/>
              <w:widowControl/>
              <w:spacing w:before="0" w:after="0"/>
              <w:jc w:val="center"/>
              <w:rPr>
                <w:bCs/>
                <w:sz w:val="18"/>
                <w:szCs w:val="18"/>
              </w:rPr>
            </w:pPr>
            <w:r>
              <w:rPr>
                <w:rFonts w:cs=""/>
                <w:bCs/>
                <w:kern w:val="0"/>
                <w:sz w:val="18"/>
                <w:szCs w:val="18"/>
                <w:lang w:val="pl-PL" w:eastAsia="en-US" w:bidi="ar-SA"/>
              </w:rPr>
              <w:t xml:space="preserve">Wkład UE:  </w:t>
            </w:r>
          </w:p>
          <w:p>
            <w:pPr>
              <w:pStyle w:val="Normal"/>
              <w:widowControl/>
              <w:spacing w:before="0" w:after="0"/>
              <w:jc w:val="center"/>
              <w:rPr>
                <w:bCs/>
                <w:sz w:val="18"/>
                <w:szCs w:val="18"/>
              </w:rPr>
            </w:pPr>
            <w:r>
              <w:rPr>
                <w:rFonts w:cs=""/>
                <w:bCs/>
                <w:kern w:val="0"/>
                <w:sz w:val="18"/>
                <w:szCs w:val="18"/>
                <w:lang w:val="pl-PL" w:eastAsia="en-US" w:bidi="ar-SA"/>
              </w:rPr>
              <w:t>122 220,76</w:t>
            </w:r>
          </w:p>
          <w:p>
            <w:pPr>
              <w:pStyle w:val="Normal"/>
              <w:widowControl/>
              <w:spacing w:before="0" w:after="0"/>
              <w:jc w:val="center"/>
              <w:rPr>
                <w:rFonts w:cs="Calibri" w:cstheme="minorHAnsi"/>
                <w:b/>
                <w:bCs/>
                <w:sz w:val="18"/>
                <w:szCs w:val="18"/>
              </w:rPr>
            </w:pPr>
            <w:r>
              <w:rPr>
                <w:rFonts w:cs=""/>
                <w:bCs/>
                <w:kern w:val="0"/>
                <w:sz w:val="18"/>
                <w:szCs w:val="18"/>
                <w:lang w:val="pl-PL" w:eastAsia="en-US" w:bidi="ar-SA"/>
              </w:rPr>
              <w:t>Środki własne: 127 209,36</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249 430,12</w:t>
            </w:r>
          </w:p>
        </w:tc>
        <w:tc>
          <w:tcPr>
            <w:tcW w:w="1559"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12.</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Powiat Włocławski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Termomodernizacja budynku Zespołu Szkół im. Marii Grodzickiej w Lubrańcu Marysinie</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868 773,47</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425 699,00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 443 074,47</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868 773,47</w:t>
            </w:r>
          </w:p>
        </w:tc>
        <w:tc>
          <w:tcPr>
            <w:tcW w:w="1418"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559"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13.</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Izbica Kujawska</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Termomodernizacja budynków użyteczności publicznej na terenie Gminy Izbica Kujawska</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200 439,00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79 850,00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120 589,00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200 439,00</w:t>
            </w:r>
          </w:p>
        </w:tc>
        <w:tc>
          <w:tcPr>
            <w:tcW w:w="1418"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559"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14.</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Lubraniec</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Kompleksowa termomodernizacja budynków użyteczności publicznej na terenie gminy Lubraniec</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332 573,49</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162 961,01</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169 612,48</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332 573,49</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15.</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Termomodernizacja budynków użyteczności publicznej na terenie miasta Włocławek</w:t>
            </w:r>
          </w:p>
        </w:tc>
        <w:tc>
          <w:tcPr>
            <w:tcW w:w="1559"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
                <w:bCs/>
                <w:sz w:val="18"/>
                <w:szCs w:val="18"/>
              </w:rPr>
            </w:pPr>
            <w:r>
              <w:rPr>
                <w:rFonts w:cs="Calibri" w:cstheme="minorHAnsi"/>
                <w:bCs/>
                <w:kern w:val="0"/>
                <w:sz w:val="18"/>
                <w:szCs w:val="18"/>
                <w:lang w:val="pl-PL" w:eastAsia="en-US" w:bidi="ar-SA"/>
              </w:rPr>
              <w:t>2 448 997,60</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 xml:space="preserve">Wkład UE:  </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977 766,07</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Środki własne:</w:t>
            </w:r>
          </w:p>
          <w:p>
            <w:pPr>
              <w:pStyle w:val="Normal"/>
              <w:widowControl/>
              <w:spacing w:lineRule="auto" w:line="240" w:before="0" w:after="0"/>
              <w:jc w:val="center"/>
              <w:rPr>
                <w:rFonts w:cs="Calibri" w:cstheme="minorHAnsi"/>
                <w:b/>
                <w:bCs/>
                <w:sz w:val="18"/>
                <w:szCs w:val="18"/>
              </w:rPr>
            </w:pPr>
            <w:r>
              <w:rPr>
                <w:rFonts w:cs="Calibri" w:cstheme="minorHAnsi"/>
                <w:bCs/>
                <w:kern w:val="0"/>
                <w:sz w:val="18"/>
                <w:szCs w:val="18"/>
                <w:lang w:val="pl-PL" w:eastAsia="en-US" w:bidi="ar-SA"/>
              </w:rPr>
              <w:t>1 471 231,53</w:t>
            </w:r>
          </w:p>
        </w:tc>
        <w:tc>
          <w:tcPr>
            <w:tcW w:w="1134"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
                <w:bCs/>
                <w:sz w:val="18"/>
                <w:szCs w:val="18"/>
              </w:rPr>
            </w:pPr>
            <w:r>
              <w:rPr>
                <w:rFonts w:cs="Calibri" w:cstheme="minorHAnsi"/>
                <w:bCs/>
                <w:kern w:val="0"/>
                <w:sz w:val="18"/>
                <w:szCs w:val="18"/>
                <w:lang w:val="pl-PL" w:eastAsia="en-US" w:bidi="ar-SA"/>
              </w:rPr>
              <w:t>1 224 498,80</w:t>
            </w:r>
          </w:p>
        </w:tc>
        <w:tc>
          <w:tcPr>
            <w:tcW w:w="1418"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
                <w:bCs/>
                <w:sz w:val="18"/>
                <w:szCs w:val="18"/>
              </w:rPr>
            </w:pPr>
            <w:r>
              <w:rPr>
                <w:rFonts w:cs="Calibri" w:cstheme="minorHAnsi"/>
                <w:bCs/>
                <w:kern w:val="0"/>
                <w:sz w:val="18"/>
                <w:szCs w:val="18"/>
                <w:lang w:val="pl-PL" w:eastAsia="en-US" w:bidi="ar-SA"/>
              </w:rPr>
              <w:t>1 224 498,80</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16.</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Włocławek</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Termomodernizacja obiektów użyteczności publicznej.</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55 358,53</w:t>
            </w:r>
          </w:p>
        </w:tc>
        <w:tc>
          <w:tcPr>
            <w:tcW w:w="1842"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 </w:t>
            </w:r>
            <w:r>
              <w:rPr>
                <w:rFonts w:cs="Calibri" w:cstheme="minorHAnsi"/>
                <w:bCs/>
                <w:color w:val="000000" w:themeColor="text1"/>
                <w:kern w:val="0"/>
                <w:sz w:val="18"/>
                <w:szCs w:val="18"/>
                <w:lang w:val="pl-PL" w:eastAsia="en-US" w:bidi="ar-SA"/>
              </w:rPr>
              <w:t>27 125,68</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28 232,85</w:t>
            </w:r>
          </w:p>
        </w:tc>
        <w:tc>
          <w:tcPr>
            <w:tcW w:w="1134"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55 358,53</w:t>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17.</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Gmina Miasto Kowal</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Kompleksowa termomodernizacja komunalnych budynków mieszkalnych w Kowalu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600 000,00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500 139,42</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99 860,58</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600 000,00</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18.</w:t>
            </w:r>
          </w:p>
        </w:tc>
        <w:tc>
          <w:tcPr>
            <w:tcW w:w="1276" w:type="dxa"/>
            <w:tcBorders/>
          </w:tcPr>
          <w:p>
            <w:pPr>
              <w:pStyle w:val="Normal"/>
              <w:widowControl/>
              <w:spacing w:lineRule="auto" w:line="240" w:before="0" w:after="0"/>
              <w:jc w:val="center"/>
              <w:rPr>
                <w:rFonts w:cs="Calibri" w:cstheme="minorHAnsi"/>
                <w:bCs/>
                <w:sz w:val="18"/>
                <w:szCs w:val="18"/>
              </w:rPr>
            </w:pPr>
            <w:r>
              <w:rPr>
                <w:rFonts w:cs=""/>
                <w:kern w:val="0"/>
                <w:sz w:val="18"/>
                <w:szCs w:val="18"/>
                <w:lang w:val="pl-PL" w:eastAsia="en-US" w:bidi="ar-SA"/>
              </w:rPr>
              <w:t>Miasto i Gmina Chodecz</w:t>
            </w:r>
          </w:p>
        </w:tc>
        <w:tc>
          <w:tcPr>
            <w:tcW w:w="1559" w:type="dxa"/>
            <w:tcBorders/>
          </w:tcPr>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t>Kompleksowa modernizacja energetyczna komunalnych budynków mieszkalnych na terenie Miasta i Gminy Chodecz</w:t>
            </w:r>
          </w:p>
        </w:tc>
        <w:tc>
          <w:tcPr>
            <w:tcW w:w="1559"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433 500,00</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Wkład UE: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368 460,39</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Środki własne: 65 039,61</w:t>
            </w:r>
          </w:p>
        </w:tc>
        <w:tc>
          <w:tcPr>
            <w:tcW w:w="1134"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433 500,00</w:t>
            </w:r>
          </w:p>
        </w:tc>
        <w:tc>
          <w:tcPr>
            <w:tcW w:w="1418"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tc>
        <w:tc>
          <w:tcPr>
            <w:tcW w:w="1559"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19.</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Lubanie</w:t>
            </w:r>
          </w:p>
        </w:tc>
        <w:tc>
          <w:tcPr>
            <w:tcW w:w="1559" w:type="dxa"/>
            <w:tcBorders/>
            <w:shd w:color="auto" w:fill="auto" w:val="clear"/>
            <w:vAlign w:val="cente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Termomodernizacja komunalnego budynku mieszkalnego</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117 647,06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 </w:t>
            </w:r>
            <w:r>
              <w:rPr>
                <w:rFonts w:cs="Calibri" w:cstheme="minorHAnsi"/>
                <w:bCs/>
                <w:color w:val="000000" w:themeColor="text1"/>
                <w:kern w:val="0"/>
                <w:sz w:val="18"/>
                <w:szCs w:val="18"/>
                <w:lang w:val="pl-PL" w:eastAsia="en-US" w:bidi="ar-SA"/>
              </w:rPr>
              <w:t>100 000,00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17 647,06</w:t>
            </w:r>
          </w:p>
        </w:tc>
        <w:tc>
          <w:tcPr>
            <w:tcW w:w="1134"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15 000,00</w:t>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102 647,06</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20.</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Lubień Kujawski</w:t>
            </w:r>
          </w:p>
        </w:tc>
        <w:tc>
          <w:tcPr>
            <w:tcW w:w="1559" w:type="dxa"/>
            <w:tcBorders/>
            <w:shd w:color="auto" w:fill="auto" w:val="clear"/>
            <w:vAlign w:val="cente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Termomodernizacja komunalnych budynków mieszkalnych</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404 706,00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344 000,00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60 706,00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300 000,00</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104 706,00</w:t>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840"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21.</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Włocławek</w:t>
            </w:r>
          </w:p>
        </w:tc>
        <w:tc>
          <w:tcPr>
            <w:tcW w:w="1559" w:type="dxa"/>
            <w:tcBorders>
              <w:top w:val="nil"/>
            </w:tcBorders>
            <w:shd w:color="auto" w:fill="auto" w:val="clear"/>
            <w:vAlign w:val="center"/>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Termomodernizacja komunalnych budynków mieszkalnych</w:t>
            </w:r>
          </w:p>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35 294,12</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30 000,00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5 294,12</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35 294,12</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22.</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Boniewo</w:t>
            </w:r>
          </w:p>
        </w:tc>
        <w:tc>
          <w:tcPr>
            <w:tcW w:w="1559" w:type="dxa"/>
            <w:tcBorders/>
            <w:shd w:color="auto" w:fill="auto" w:val="clear"/>
            <w:vAlign w:val="center"/>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Kompleksowa modernizacja  energetyczna komunalnych budynków mieszkalnych na terenie Gminy Boniewo </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221 553,00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188 320,00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33 233,00</w:t>
            </w:r>
          </w:p>
        </w:tc>
        <w:tc>
          <w:tcPr>
            <w:tcW w:w="1134"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59 080,00</w:t>
            </w:r>
          </w:p>
        </w:tc>
        <w:tc>
          <w:tcPr>
            <w:tcW w:w="1417"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59 080,00</w:t>
            </w:r>
          </w:p>
        </w:tc>
        <w:tc>
          <w:tcPr>
            <w:tcW w:w="1135"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103 393,00</w:t>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23.</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Brześć Kujawski</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Budowa kotłowni miejskiej w Brześciu Kujawskim</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647 647,05</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550 500,00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97 147,05</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647 647,05</w:t>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24.</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Powiat Włocławski</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Wymiana źródeł ciepła w jednostkach organizacyjnych powiatu</w:t>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1 368 484,12</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 1 163 211,50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Środki własne: 205 272,62</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1 368 484,12</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25.</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Baruchowo</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 xml:space="preserve">Modernizacja ciepłowni lokalnej </w:t>
            </w:r>
          </w:p>
        </w:tc>
        <w:tc>
          <w:tcPr>
            <w:tcW w:w="1559"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100 000,00</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 50 000,00</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50 000,00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100 000,00</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1133" w:hRule="atLeast"/>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26.</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Boniewo</w:t>
            </w:r>
          </w:p>
        </w:tc>
        <w:tc>
          <w:tcPr>
            <w:tcW w:w="1559" w:type="dxa"/>
            <w:tcBorders/>
            <w:shd w:color="auto" w:fill="auto" w:val="clear"/>
          </w:tcPr>
          <w:p>
            <w:pPr>
              <w:pStyle w:val="Normal"/>
              <w:widowControl/>
              <w:spacing w:lineRule="auto" w:line="240" w:before="0" w:after="0"/>
              <w:jc w:val="left"/>
              <w:rPr>
                <w:rFonts w:cs="Calibri" w:cstheme="minorHAnsi"/>
                <w:color w:val="000000" w:themeColor="text1"/>
                <w:sz w:val="18"/>
                <w:szCs w:val="18"/>
              </w:rPr>
            </w:pPr>
            <w:r>
              <w:rPr>
                <w:rFonts w:cs="Calibri" w:cstheme="minorHAnsi"/>
                <w:color w:val="000000" w:themeColor="text1"/>
                <w:kern w:val="0"/>
                <w:sz w:val="18"/>
                <w:szCs w:val="18"/>
                <w:lang w:val="pl-PL" w:eastAsia="en-US" w:bidi="ar-SA"/>
              </w:rPr>
              <w:t xml:space="preserve">Modernizacja lokalnego źródła ciepła z  infrastrukturą towarzyszącą   W Zespole Szkól Boniewo </w:t>
            </w:r>
          </w:p>
        </w:tc>
        <w:tc>
          <w:tcPr>
            <w:tcW w:w="1559"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125 559,18</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106 725,31</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18 833,87</w:t>
            </w:r>
          </w:p>
        </w:tc>
        <w:tc>
          <w:tcPr>
            <w:tcW w:w="1134"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30 000,00</w:t>
            </w:r>
          </w:p>
        </w:tc>
        <w:tc>
          <w:tcPr>
            <w:tcW w:w="1559"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95 559,18</w:t>
            </w:r>
          </w:p>
        </w:tc>
        <w:tc>
          <w:tcPr>
            <w:tcW w:w="1417" w:type="dxa"/>
            <w:tcBorders/>
          </w:tcPr>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27.</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Lubanie</w:t>
            </w:r>
          </w:p>
        </w:tc>
        <w:tc>
          <w:tcPr>
            <w:tcW w:w="1559" w:type="dxa"/>
            <w:tcBorders>
              <w:top w:val="nil"/>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Modernizacja lokalnych ciepłowni w obiektach użyteczności publicznej z wykorzystaniem OZE</w:t>
            </w:r>
          </w:p>
        </w:tc>
        <w:tc>
          <w:tcPr>
            <w:tcW w:w="1559"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271 197,00</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230 517,45</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Środki własne: 40 679,55</w:t>
            </w:r>
          </w:p>
        </w:tc>
        <w:tc>
          <w:tcPr>
            <w:tcW w:w="1134"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15 000,00</w:t>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256 197,00</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28.</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Lubraniec</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Wymiana oświetlenia ulicznego na terenie gminy Lubraniec</w:t>
            </w:r>
          </w:p>
        </w:tc>
        <w:tc>
          <w:tcPr>
            <w:tcW w:w="1559"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200 000,00</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60 000,00</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140 000,00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200 000,00</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29.</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Miasto Włocławek</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Wymiana oświetlenia na energooszczędne na obszarze Miasta Włocławek</w:t>
            </w:r>
          </w:p>
        </w:tc>
        <w:tc>
          <w:tcPr>
            <w:tcW w:w="1559"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b/>
                <w:bCs/>
                <w:sz w:val="18"/>
                <w:szCs w:val="18"/>
              </w:rPr>
            </w:pPr>
            <w:r>
              <w:rPr>
                <w:rFonts w:cs="Calibri" w:cstheme="minorHAnsi"/>
                <w:kern w:val="0"/>
                <w:sz w:val="18"/>
                <w:szCs w:val="18"/>
                <w:lang w:val="pl-PL" w:eastAsia="en-US" w:bidi="ar-SA"/>
              </w:rPr>
              <w:t>3 883 620,24</w:t>
            </w:r>
          </w:p>
        </w:tc>
        <w:tc>
          <w:tcPr>
            <w:tcW w:w="1842"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Wkład UE:</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586 614,00</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Środki własne:</w:t>
            </w:r>
          </w:p>
          <w:p>
            <w:pPr>
              <w:pStyle w:val="Normal"/>
              <w:widowControl/>
              <w:spacing w:lineRule="auto" w:line="240" w:before="0" w:after="0"/>
              <w:jc w:val="center"/>
              <w:rPr>
                <w:rFonts w:cs="Calibri" w:cstheme="minorHAnsi"/>
                <w:b/>
                <w:bCs/>
                <w:sz w:val="18"/>
                <w:szCs w:val="18"/>
              </w:rPr>
            </w:pPr>
            <w:r>
              <w:rPr>
                <w:rFonts w:cs="Calibri" w:cstheme="minorHAnsi"/>
                <w:kern w:val="0"/>
                <w:sz w:val="18"/>
                <w:szCs w:val="18"/>
                <w:lang w:val="pl-PL" w:eastAsia="en-US" w:bidi="ar-SA"/>
              </w:rPr>
              <w:t>3 297 006,24</w:t>
            </w:r>
          </w:p>
        </w:tc>
        <w:tc>
          <w:tcPr>
            <w:tcW w:w="1134"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1 294 540,08</w:t>
            </w:r>
          </w:p>
        </w:tc>
        <w:tc>
          <w:tcPr>
            <w:tcW w:w="1418"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1 294 540,08</w:t>
            </w:r>
          </w:p>
        </w:tc>
        <w:tc>
          <w:tcPr>
            <w:tcW w:w="1559"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1 294 540,08</w:t>
            </w:r>
          </w:p>
        </w:tc>
        <w:tc>
          <w:tcPr>
            <w:tcW w:w="1417"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30.</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Miasto Włocławek</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Zielone tereny Śródmieścia miasta Włocławek</w:t>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2 385 010,45</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2 027 258,88</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357 751,56</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795 003,49</w:t>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1 590 006,95</w:t>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1035" w:hRule="atLeast"/>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31.</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Lubień Kujawski</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Modernizacja stacji uzdatniania wody w m. Narty, gm. Lubień Kujawski</w:t>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206 129,00</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175 210,00</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 30 919,00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65 000,00</w:t>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141 129,00</w:t>
            </w:r>
          </w:p>
        </w:tc>
        <w:tc>
          <w:tcPr>
            <w:tcW w:w="1559"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32.</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Kowal</w:t>
            </w:r>
          </w:p>
        </w:tc>
        <w:tc>
          <w:tcPr>
            <w:tcW w:w="1559" w:type="dxa"/>
            <w:tcBorders>
              <w:top w:val="nil"/>
            </w:tcBorders>
            <w:shd w:color="auto" w:fill="auto" w:val="clear"/>
          </w:tcPr>
          <w:p>
            <w:pPr>
              <w:pStyle w:val="Normal"/>
              <w:widowControl/>
              <w:spacing w:lineRule="auto" w:line="240" w:before="0" w:after="0"/>
              <w:jc w:val="left"/>
              <w:rPr>
                <w:rFonts w:cs="Calibri" w:cstheme="minorHAnsi"/>
                <w:color w:val="000000" w:themeColor="text1"/>
                <w:sz w:val="18"/>
                <w:szCs w:val="18"/>
              </w:rPr>
            </w:pPr>
            <w:r>
              <w:rPr>
                <w:rFonts w:cs="Calibri" w:cstheme="minorHAnsi"/>
                <w:color w:val="000000" w:themeColor="text1"/>
                <w:kern w:val="0"/>
                <w:sz w:val="18"/>
                <w:szCs w:val="18"/>
                <w:lang w:val="pl-PL" w:eastAsia="en-US" w:bidi="ar-SA"/>
              </w:rPr>
              <w:t>Modernizacja systemu wodociągowego w zakresie wprowadzenia inteligentnych rozwiązań"</w:t>
            </w:r>
          </w:p>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85 887,54</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73 004,41</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12 883,13</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85 887,54</w:t>
            </w:r>
          </w:p>
        </w:tc>
        <w:tc>
          <w:tcPr>
            <w:tcW w:w="1559"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33.</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Choceń</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 xml:space="preserve">Budowa i przebudowa infrastruktury służącej zaopatrzeniu ludności w wodę pitną na terenie gminy Choceń </w:t>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545 815,32</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377 189,45</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168 625,87</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545 815,32</w:t>
            </w:r>
          </w:p>
        </w:tc>
        <w:tc>
          <w:tcPr>
            <w:tcW w:w="1559"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34.</w:t>
            </w:r>
          </w:p>
        </w:tc>
        <w:tc>
          <w:tcPr>
            <w:tcW w:w="1276" w:type="dxa"/>
            <w:tcBorders/>
          </w:tcPr>
          <w:p>
            <w:pPr>
              <w:pStyle w:val="Normal"/>
              <w:widowControl/>
              <w:spacing w:lineRule="auto" w:line="240" w:before="0" w:after="0"/>
              <w:jc w:val="center"/>
              <w:rPr>
                <w:rFonts w:cs="Calibri" w:cstheme="minorHAnsi"/>
                <w:sz w:val="18"/>
                <w:szCs w:val="18"/>
              </w:rPr>
            </w:pPr>
            <w:r>
              <w:rPr>
                <w:rFonts w:cs=""/>
                <w:kern w:val="0"/>
                <w:sz w:val="18"/>
                <w:szCs w:val="18"/>
                <w:lang w:val="pl-PL" w:eastAsia="en-US" w:bidi="ar-SA"/>
              </w:rPr>
              <w:t>Miasto i Gmina Chodecz</w:t>
            </w:r>
          </w:p>
        </w:tc>
        <w:tc>
          <w:tcPr>
            <w:tcW w:w="1559" w:type="dxa"/>
            <w:tcBorders>
              <w:top w:val="nil"/>
            </w:tcBorders>
            <w:shd w:color="auto" w:fill="auto" w:val="clear"/>
          </w:tcPr>
          <w:p>
            <w:pPr>
              <w:pStyle w:val="Normal"/>
              <w:widowControl/>
              <w:spacing w:lineRule="auto" w:line="240" w:before="0" w:after="0"/>
              <w:jc w:val="left"/>
              <w:rPr>
                <w:rFonts w:cs="Calibri" w:cstheme="minorHAnsi"/>
                <w:sz w:val="18"/>
                <w:szCs w:val="18"/>
              </w:rPr>
            </w:pPr>
            <w:r>
              <w:rPr>
                <w:rFonts w:cs="Calibri" w:cstheme="minorHAnsi"/>
                <w:kern w:val="0"/>
                <w:sz w:val="18"/>
                <w:szCs w:val="18"/>
                <w:lang w:val="pl-PL" w:eastAsia="en-US" w:bidi="ar-SA"/>
              </w:rPr>
              <w:t>Modernizacja systemu wodociągowego w zakresie wprowadzenia inteligentnych rozwiązań</w:t>
            </w:r>
          </w:p>
        </w:tc>
        <w:tc>
          <w:tcPr>
            <w:tcW w:w="1559"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102 000,00</w:t>
            </w:r>
          </w:p>
        </w:tc>
        <w:tc>
          <w:tcPr>
            <w:tcW w:w="1842"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Wkład UE:</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86 099,94</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Środki własne:</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15 900,06</w:t>
            </w:r>
          </w:p>
        </w:tc>
        <w:tc>
          <w:tcPr>
            <w:tcW w:w="1134"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102 000,00</w:t>
            </w:r>
          </w:p>
        </w:tc>
        <w:tc>
          <w:tcPr>
            <w:tcW w:w="1418"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559"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35.</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Izbica Kujawska</w:t>
            </w:r>
          </w:p>
        </w:tc>
        <w:tc>
          <w:tcPr>
            <w:tcW w:w="1559" w:type="dxa"/>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Wykonanie systemu zdalnego pomiaru i dystrybucji wody w sieci oraz radiowych pomiarów jej zużycia na danych obszarach gminy.</w:t>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140 854,00</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97 339,00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Środki własne: 43 515,00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140 854,00</w:t>
            </w:r>
          </w:p>
        </w:tc>
        <w:tc>
          <w:tcPr>
            <w:tcW w:w="1559"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36.</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Fabianki</w:t>
            </w:r>
          </w:p>
        </w:tc>
        <w:tc>
          <w:tcPr>
            <w:tcW w:w="1559" w:type="dxa"/>
            <w:tcBorders>
              <w:top w:val="nil"/>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Rozbudowa i modernizacja stacji uzdatniania wody w Szpetalu Górnym</w:t>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2 124 037,80</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 1 114 686,13</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Środki własne: 1 009 351,67</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881 057,27</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1 242 980,53</w:t>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37.</w:t>
            </w:r>
          </w:p>
        </w:tc>
        <w:tc>
          <w:tcPr>
            <w:tcW w:w="1276" w:type="dxa"/>
            <w:tcBorders/>
          </w:tcPr>
          <w:p>
            <w:pPr>
              <w:pStyle w:val="Normal"/>
              <w:widowControl/>
              <w:spacing w:lineRule="auto" w:line="240" w:before="0" w:after="0"/>
              <w:jc w:val="center"/>
              <w:rPr>
                <w:rFonts w:cs="Calibri" w:cstheme="minorHAnsi"/>
                <w:color w:val="000000" w:themeColor="text1"/>
                <w:sz w:val="18"/>
                <w:szCs w:val="18"/>
              </w:rPr>
            </w:pPr>
            <w:r>
              <w:rPr>
                <w:rFonts w:cs=""/>
                <w:kern w:val="0"/>
                <w:sz w:val="18"/>
                <w:szCs w:val="18"/>
                <w:lang w:val="pl-PL" w:eastAsia="en-US" w:bidi="ar-SA"/>
              </w:rPr>
              <w:t>Gmina Lubraniec</w:t>
            </w:r>
          </w:p>
        </w:tc>
        <w:tc>
          <w:tcPr>
            <w:tcW w:w="1559" w:type="dxa"/>
            <w:tcBorders>
              <w:top w:val="nil"/>
            </w:tcBorders>
            <w:shd w:color="auto" w:fill="auto"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Modernizacja sieci wodociągowej na terenie gminy Lubraniec</w:t>
            </w:r>
          </w:p>
        </w:tc>
        <w:tc>
          <w:tcPr>
            <w:tcW w:w="1559"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114 516,72</w:t>
            </w:r>
          </w:p>
        </w:tc>
        <w:tc>
          <w:tcPr>
            <w:tcW w:w="1842" w:type="dxa"/>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97 339,21</w:t>
            </w:r>
          </w:p>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17 177,51</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114 516,72</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855"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38.</w:t>
            </w:r>
          </w:p>
        </w:tc>
        <w:tc>
          <w:tcPr>
            <w:tcW w:w="1276" w:type="dxa"/>
            <w:tcBorders/>
          </w:tcPr>
          <w:p>
            <w:pPr>
              <w:pStyle w:val="Normal"/>
              <w:widowControl/>
              <w:spacing w:lineRule="auto" w:line="240" w:before="0" w:after="0"/>
              <w:jc w:val="center"/>
              <w:rPr>
                <w:rFonts w:cs="Calibri" w:cstheme="minorHAnsi"/>
                <w:sz w:val="18"/>
                <w:szCs w:val="18"/>
              </w:rPr>
            </w:pPr>
            <w:r>
              <w:rPr>
                <w:rFonts w:cs=""/>
                <w:kern w:val="0"/>
                <w:sz w:val="18"/>
                <w:szCs w:val="18"/>
                <w:lang w:val="pl-PL" w:eastAsia="en-US" w:bidi="ar-SA"/>
              </w:rPr>
              <w:t>Gmina Boniewo</w:t>
            </w:r>
          </w:p>
        </w:tc>
        <w:tc>
          <w:tcPr>
            <w:tcW w:w="1559" w:type="dxa"/>
            <w:tcBorders/>
            <w:shd w:color="auto" w:fill="auto" w:val="clear"/>
          </w:tcPr>
          <w:p>
            <w:pPr>
              <w:pStyle w:val="Normal"/>
              <w:widowControl/>
              <w:spacing w:lineRule="auto" w:line="240" w:before="0" w:after="0"/>
              <w:jc w:val="left"/>
              <w:rPr>
                <w:rFonts w:cs="Calibri" w:cstheme="minorHAnsi"/>
                <w:sz w:val="18"/>
                <w:szCs w:val="18"/>
              </w:rPr>
            </w:pPr>
            <w:r>
              <w:rPr>
                <w:rFonts w:cs="Calibri" w:cstheme="minorHAnsi"/>
                <w:kern w:val="0"/>
                <w:sz w:val="18"/>
                <w:szCs w:val="18"/>
                <w:lang w:val="pl-PL" w:eastAsia="en-US" w:bidi="ar-SA"/>
              </w:rPr>
              <w:t xml:space="preserve">Modernizacja sieci wodociągowej na terenie Gminy Boniewo </w:t>
            </w:r>
          </w:p>
        </w:tc>
        <w:tc>
          <w:tcPr>
            <w:tcW w:w="1559"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258 824,00</w:t>
            </w:r>
          </w:p>
        </w:tc>
        <w:tc>
          <w:tcPr>
            <w:tcW w:w="1842"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Wkład UE:</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97 275,94</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Środki własne:</w:t>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161 548,06</w:t>
            </w:r>
          </w:p>
        </w:tc>
        <w:tc>
          <w:tcPr>
            <w:tcW w:w="1134"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37 740,00</w:t>
            </w:r>
          </w:p>
        </w:tc>
        <w:tc>
          <w:tcPr>
            <w:tcW w:w="1418"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38 060,00</w:t>
            </w:r>
          </w:p>
        </w:tc>
        <w:tc>
          <w:tcPr>
            <w:tcW w:w="1559"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74 000,00</w:t>
            </w:r>
          </w:p>
        </w:tc>
        <w:tc>
          <w:tcPr>
            <w:tcW w:w="1417"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73 084,00</w:t>
            </w:r>
          </w:p>
        </w:tc>
        <w:tc>
          <w:tcPr>
            <w:tcW w:w="1135"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35 940,00</w:t>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706" w:hRule="atLeast"/>
        </w:trPr>
        <w:tc>
          <w:tcPr>
            <w:tcW w:w="3418" w:type="dxa"/>
            <w:gridSpan w:val="4"/>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Suma CP2</w:t>
            </w:r>
          </w:p>
        </w:tc>
        <w:tc>
          <w:tcPr>
            <w:tcW w:w="1559"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34 712 054,41</w:t>
            </w:r>
          </w:p>
        </w:tc>
        <w:tc>
          <w:tcPr>
            <w:tcW w:w="1842"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Wkład UE:  23 976 083,22</w:t>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Środki własne:</w:t>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10 735 971,18</w:t>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tc>
        <w:tc>
          <w:tcPr>
            <w:tcW w:w="1134"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85 358,53</w:t>
            </w:r>
          </w:p>
        </w:tc>
        <w:tc>
          <w:tcPr>
            <w:tcW w:w="1418" w:type="dxa"/>
            <w:gridSpan w:val="2"/>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11 635 538,34</w:t>
            </w:r>
          </w:p>
        </w:tc>
        <w:tc>
          <w:tcPr>
            <w:tcW w:w="1418"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18 273 207,53</w:t>
            </w:r>
          </w:p>
        </w:tc>
        <w:tc>
          <w:tcPr>
            <w:tcW w:w="1559"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4 446 453,00</w:t>
            </w:r>
          </w:p>
        </w:tc>
        <w:tc>
          <w:tcPr>
            <w:tcW w:w="1417"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132 164,00</w:t>
            </w:r>
          </w:p>
        </w:tc>
        <w:tc>
          <w:tcPr>
            <w:tcW w:w="1135"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139 333,00</w:t>
            </w:r>
          </w:p>
        </w:tc>
        <w:tc>
          <w:tcPr>
            <w:tcW w:w="991" w:type="dxa"/>
            <w:tcBorders/>
            <w:shd w:color="auto" w:fill="8DB3E2" w:themeFill="text2" w:themeFillTint="66" w:val="clear"/>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15891" w:type="dxa"/>
            <w:gridSpan w:val="14"/>
            <w:tcBorders/>
            <w:shd w:color="auto" w:fill="C6D9F1" w:themeFill="text2" w:themeFillTint="33" w:val="clear"/>
          </w:tcPr>
          <w:p>
            <w:pPr>
              <w:pStyle w:val="Normal"/>
              <w:widowControl/>
              <w:spacing w:before="0" w:after="160"/>
              <w:jc w:val="center"/>
              <w:rPr>
                <w:rFonts w:cs="Calibri" w:cstheme="minorHAnsi"/>
                <w:b/>
                <w:bCs/>
                <w:sz w:val="28"/>
                <w:szCs w:val="28"/>
              </w:rPr>
            </w:pPr>
            <w:r>
              <w:rPr>
                <w:rFonts w:cs="Calibri" w:cstheme="minorHAnsi"/>
                <w:b/>
                <w:bCs/>
                <w:kern w:val="0"/>
                <w:sz w:val="28"/>
                <w:szCs w:val="28"/>
                <w:lang w:val="pl-PL" w:eastAsia="en-US" w:bidi="ar-SA"/>
              </w:rPr>
              <w:t>CP4</w:t>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39.</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Izbica Kujawska</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Przebudowa oraz remont  Przedszkola Samorządowego w Izbicy Kujawskiej wraz z budową podjazdu dla osób niepełnosprawnych</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260 000,00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220 000,00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40 000,00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260 000,00</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40.</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Brześć Kujawski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Rozbudowa i modernizacja Przedszkola Publicznego nr 1 w Brześciu Kujawskim</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764 705,88</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650 000,00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114 705,88</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764 705,88</w:t>
            </w:r>
          </w:p>
        </w:tc>
        <w:tc>
          <w:tcPr>
            <w:tcW w:w="1135"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1352" w:hRule="atLeast"/>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41.</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Powiat Włocławski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Budowa budynku dydaktyczno- warsztatowego dla Zespołu Szkół w Kowalu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1 278 278,86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1 086 537,03</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191 741,83</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1 278 278,86</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left"/>
              <w:rPr>
                <w:rFonts w:cs="Calibri" w:cstheme="minorHAnsi"/>
                <w:sz w:val="18"/>
                <w:szCs w:val="18"/>
              </w:rPr>
            </w:pPr>
            <w:r>
              <w:rPr>
                <w:rFonts w:cs="Calibri" w:cstheme="minorHAnsi"/>
                <w:kern w:val="0"/>
                <w:sz w:val="18"/>
                <w:szCs w:val="18"/>
                <w:lang w:val="pl-PL" w:eastAsia="en-US" w:bidi="ar-SA"/>
              </w:rPr>
              <w:t xml:space="preserve"> </w:t>
            </w:r>
            <w:r>
              <w:rPr>
                <w:rFonts w:cs="Calibri" w:cstheme="minorHAnsi"/>
                <w:kern w:val="0"/>
                <w:sz w:val="18"/>
                <w:szCs w:val="18"/>
                <w:lang w:val="pl-PL" w:eastAsia="en-US" w:bidi="ar-SA"/>
              </w:rPr>
              <w:t>42.</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Włocławek</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Organizacja zajęć dla dzieci w wieku przedszkolnym</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106 683,56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90 681,03</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16 002,53</w:t>
            </w:r>
          </w:p>
        </w:tc>
        <w:tc>
          <w:tcPr>
            <w:tcW w:w="1134"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42 673,42</w:t>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64 010,14</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947" w:hRule="atLeast"/>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43.</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Brześć Kujawski</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Organizacja zajęć</w:t>
              <w:br/>
              <w:t xml:space="preserve"> i poprawa jakości opieki przedszkolnej </w:t>
              <w:br/>
              <w:t>w Gminie Brześć Kujawski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273 606,11</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232 565,20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41 040,91</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273 606,11</w:t>
            </w:r>
          </w:p>
        </w:tc>
        <w:tc>
          <w:tcPr>
            <w:tcW w:w="1135"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44.</w:t>
            </w:r>
          </w:p>
        </w:tc>
        <w:tc>
          <w:tcPr>
            <w:tcW w:w="1276" w:type="dxa"/>
            <w:tcBorders/>
          </w:tcPr>
          <w:p>
            <w:pPr>
              <w:pStyle w:val="Normal"/>
              <w:widowControl/>
              <w:spacing w:lineRule="auto" w:line="240" w:before="0" w:after="0"/>
              <w:jc w:val="center"/>
              <w:rPr>
                <w:rFonts w:cs="Calibri" w:cstheme="minorHAnsi"/>
                <w:bCs/>
                <w:sz w:val="18"/>
                <w:szCs w:val="18"/>
              </w:rPr>
            </w:pPr>
            <w:r>
              <w:rPr>
                <w:rFonts w:cs=""/>
                <w:kern w:val="0"/>
                <w:sz w:val="18"/>
                <w:szCs w:val="18"/>
                <w:lang w:val="pl-PL" w:eastAsia="en-US" w:bidi="ar-SA"/>
              </w:rPr>
              <w:t>Miasto</w:t>
              <w:br/>
              <w:t xml:space="preserve"> i Gmina Chodecz</w:t>
            </w:r>
          </w:p>
        </w:tc>
        <w:tc>
          <w:tcPr>
            <w:tcW w:w="1559" w:type="dxa"/>
            <w:tcBorders/>
            <w:shd w:color="auto" w:fill="FFFFFF" w:themeFill="background1" w:val="clear"/>
          </w:tcPr>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t>Poprawa jakości opieki przedszkolnej na terenie Miasta i Gminy Chodecz.</w:t>
            </w:r>
          </w:p>
        </w:tc>
        <w:tc>
          <w:tcPr>
            <w:tcW w:w="1559"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165 200,00</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 xml:space="preserve">Wkład UE: </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140 346,67</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Środki własne: 24 853,33</w:t>
            </w:r>
          </w:p>
        </w:tc>
        <w:tc>
          <w:tcPr>
            <w:tcW w:w="1134"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85 000,00</w:t>
            </w:r>
          </w:p>
        </w:tc>
        <w:tc>
          <w:tcPr>
            <w:tcW w:w="1418"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80 200,00</w:t>
            </w:r>
          </w:p>
        </w:tc>
        <w:tc>
          <w:tcPr>
            <w:tcW w:w="1559"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45.</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Izbica Kujawska</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Zwiększenie liczby miejsc przedszkolnych</w:t>
              <w:br/>
              <w:t xml:space="preserve"> w Przedszkolu Samorządowym </w:t>
              <w:br/>
              <w:t>w Izbicy Kujawskiej.</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256 304,07</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217 858,46</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38 445,61</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76 891,22</w:t>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128 152,04</w:t>
            </w:r>
          </w:p>
        </w:tc>
        <w:tc>
          <w:tcPr>
            <w:tcW w:w="1559"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51 260,81</w:t>
            </w:r>
          </w:p>
        </w:tc>
        <w:tc>
          <w:tcPr>
            <w:tcW w:w="1417"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46.</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Baruchowo</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Organizacja zajęć dla dzieci w wieku przedszkolnym</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170 000,00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100 000,00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70 000,00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70 000,00</w:t>
            </w:r>
          </w:p>
        </w:tc>
        <w:tc>
          <w:tcPr>
            <w:tcW w:w="1418"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100 000,00</w:t>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47.</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Lubraniec</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Upowszechnienie i zapewnienie wysokiej jakości edukacji przedszkolnej na terenie gminy Lubraniec</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117 647,06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100 000,00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17 647,06</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117 647,06</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48.</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Lubień Kujawski</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Utworzenie nowych miejsc</w:t>
              <w:br/>
              <w:t xml:space="preserve"> i bieżące ich funkcjonowanie  w placówkach przedszkolnych na terenie gminy Lubień Kujawski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176 668,68</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150 168,38</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26 500,30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4"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35 325,00</w:t>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141 343,68</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160"/>
              <w:jc w:val="center"/>
              <w:rPr>
                <w:rFonts w:cs="Calibri" w:cstheme="minorHAnsi"/>
                <w:sz w:val="18"/>
                <w:szCs w:val="18"/>
              </w:rPr>
            </w:pPr>
            <w:r>
              <w:rPr>
                <w:rFonts w:cs="Calibri" w:cstheme="minorHAnsi"/>
                <w:kern w:val="0"/>
                <w:sz w:val="18"/>
                <w:szCs w:val="18"/>
                <w:lang w:val="pl-PL" w:eastAsia="en-US" w:bidi="ar-SA"/>
              </w:rPr>
              <w:t>49.</w:t>
            </w:r>
          </w:p>
        </w:tc>
        <w:tc>
          <w:tcPr>
            <w:tcW w:w="1276" w:type="dxa"/>
            <w:tcBorders/>
          </w:tcPr>
          <w:p>
            <w:pPr>
              <w:pStyle w:val="Normal"/>
              <w:widowControl/>
              <w:spacing w:lineRule="auto" w:line="240" w:before="0" w:after="160"/>
              <w:jc w:val="center"/>
              <w:rPr>
                <w:rFonts w:cs="Calibri" w:cstheme="minorHAnsi"/>
                <w:bCs/>
                <w:color w:val="000000" w:themeColor="text1"/>
                <w:sz w:val="18"/>
                <w:szCs w:val="18"/>
              </w:rPr>
            </w:pPr>
            <w:r>
              <w:rPr>
                <w:rFonts w:cs=""/>
                <w:kern w:val="0"/>
                <w:sz w:val="18"/>
                <w:szCs w:val="18"/>
                <w:lang w:val="pl-PL" w:eastAsia="en-US" w:bidi="ar-SA"/>
              </w:rPr>
              <w:t>Gmina Kowal</w:t>
            </w:r>
          </w:p>
        </w:tc>
        <w:tc>
          <w:tcPr>
            <w:tcW w:w="1559" w:type="dxa"/>
            <w:tcBorders/>
            <w:shd w:color="auto" w:fill="FFFFFF" w:themeFill="background1" w:val="clear"/>
          </w:tcPr>
          <w:p>
            <w:pPr>
              <w:pStyle w:val="Normal"/>
              <w:widowControl/>
              <w:spacing w:lineRule="auto" w:line="240" w:before="0" w:after="16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Podniesienie kompetencji kluczowych uczniów z terenu Gminy Kowal</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326 409,21</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277 447,83</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48 961,38</w:t>
            </w:r>
          </w:p>
        </w:tc>
        <w:tc>
          <w:tcPr>
            <w:tcW w:w="1134" w:type="dxa"/>
            <w:tcBorders/>
          </w:tcPr>
          <w:p>
            <w:pPr>
              <w:pStyle w:val="Normal"/>
              <w:widowControl/>
              <w:spacing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326 409,21</w:t>
            </w:r>
          </w:p>
        </w:tc>
        <w:tc>
          <w:tcPr>
            <w:tcW w:w="1135" w:type="dxa"/>
            <w:tcBorders/>
          </w:tcPr>
          <w:p>
            <w:pPr>
              <w:pStyle w:val="Normal"/>
              <w:widowControl/>
              <w:spacing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991" w:type="dxa"/>
            <w:tcBorders/>
          </w:tcPr>
          <w:p>
            <w:pPr>
              <w:pStyle w:val="Normal"/>
              <w:widowControl/>
              <w:spacing w:before="0" w:after="16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50.</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Boniewo</w:t>
            </w:r>
          </w:p>
        </w:tc>
        <w:tc>
          <w:tcPr>
            <w:tcW w:w="1559" w:type="dxa"/>
            <w:tcBorders/>
            <w:shd w:color="auto" w:fill="FFFFFF" w:themeFill="background1" w:val="clear"/>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Podniesienie kompetencji kluczowych  uczniów </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127 704,18</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108 548,55</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19 155,63</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38 312,00</w:t>
            </w:r>
          </w:p>
        </w:tc>
        <w:tc>
          <w:tcPr>
            <w:tcW w:w="1559"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63 852,00</w:t>
            </w:r>
          </w:p>
        </w:tc>
        <w:tc>
          <w:tcPr>
            <w:tcW w:w="1417"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t>25 540,18</w:t>
            </w:r>
          </w:p>
        </w:tc>
        <w:tc>
          <w:tcPr>
            <w:tcW w:w="1135"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51.</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Lubień Kujawski</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Podniesienie jakości kształcenia ogólnego </w:t>
              <w:br/>
              <w:t>w gminie Lubień Kujawski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295 256,47</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250 968,00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44 288,47</w:t>
            </w:r>
          </w:p>
        </w:tc>
        <w:tc>
          <w:tcPr>
            <w:tcW w:w="1134"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59 040,00</w:t>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236 216,47</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52.</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Baruchowo</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Organizacja dodatkowych zajęć dla dzieci </w:t>
              <w:br/>
              <w:t>w wieku szkolnym</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170 000,00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100 160,00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Środki własne: </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69 840,00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69 840,00</w:t>
            </w:r>
          </w:p>
        </w:tc>
        <w:tc>
          <w:tcPr>
            <w:tcW w:w="1418" w:type="dxa"/>
            <w:tcBorders/>
          </w:tcPr>
          <w:p>
            <w:pPr>
              <w:pStyle w:val="Normal"/>
              <w:widowControl/>
              <w:spacing w:before="0" w:after="0"/>
              <w:jc w:val="center"/>
              <w:rPr>
                <w:rFonts w:cs="Calibri" w:cstheme="minorHAnsi"/>
                <w:color w:val="000000" w:themeColor="text1"/>
                <w:sz w:val="18"/>
                <w:szCs w:val="18"/>
              </w:rPr>
            </w:pPr>
            <w:r>
              <w:rPr>
                <w:rFonts w:cs="Calibri" w:cstheme="minorHAnsi"/>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color w:val="000000" w:themeColor="text1"/>
                <w:kern w:val="0"/>
                <w:sz w:val="18"/>
                <w:szCs w:val="18"/>
                <w:lang w:val="pl-PL" w:eastAsia="en-US" w:bidi="ar-SA"/>
              </w:rPr>
              <w:t>100 160,00</w:t>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53.</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Choceń</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Uczymy się</w:t>
              <w:br/>
              <w:t xml:space="preserve"> z pasją!</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264 658,82</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224 959,99</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39 698,83</w:t>
            </w:r>
          </w:p>
        </w:tc>
        <w:tc>
          <w:tcPr>
            <w:tcW w:w="1134"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11 013,22</w:t>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152 187,36</w:t>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101 458,24</w:t>
            </w:r>
          </w:p>
        </w:tc>
        <w:tc>
          <w:tcPr>
            <w:tcW w:w="1559"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54.</w:t>
            </w:r>
          </w:p>
        </w:tc>
        <w:tc>
          <w:tcPr>
            <w:tcW w:w="1276" w:type="dxa"/>
            <w:tcBorders/>
          </w:tcPr>
          <w:p>
            <w:pPr>
              <w:pStyle w:val="Normal"/>
              <w:widowControl/>
              <w:spacing w:lineRule="auto" w:line="240" w:before="0" w:after="0"/>
              <w:jc w:val="center"/>
              <w:rPr>
                <w:rFonts w:cs="Calibri" w:cstheme="minorHAnsi"/>
                <w:bCs/>
                <w:sz w:val="18"/>
                <w:szCs w:val="18"/>
              </w:rPr>
            </w:pPr>
            <w:r>
              <w:rPr>
                <w:rFonts w:cs=""/>
                <w:kern w:val="0"/>
                <w:sz w:val="18"/>
                <w:szCs w:val="18"/>
                <w:lang w:val="pl-PL" w:eastAsia="en-US" w:bidi="ar-SA"/>
              </w:rPr>
              <w:t>Miasto</w:t>
              <w:br/>
              <w:t xml:space="preserve"> i Gmina Chodecz</w:t>
            </w:r>
          </w:p>
        </w:tc>
        <w:tc>
          <w:tcPr>
            <w:tcW w:w="1559" w:type="dxa"/>
            <w:tcBorders/>
            <w:shd w:color="auto" w:fill="FFFFFF" w:themeFill="background1" w:val="clear"/>
          </w:tcPr>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t xml:space="preserve">Poprawa oferty edukacyjnej </w:t>
              <w:br/>
              <w:t xml:space="preserve">w Szkole Podstawowej im. Tadeusza Kościuszki </w:t>
              <w:br/>
              <w:t>w Chodczu</w:t>
            </w:r>
          </w:p>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167 100,00</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Wkład UE: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142 000,00</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Środki własne: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25 100,00</w:t>
            </w:r>
          </w:p>
        </w:tc>
        <w:tc>
          <w:tcPr>
            <w:tcW w:w="1134"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80 000,00</w:t>
            </w:r>
          </w:p>
        </w:tc>
        <w:tc>
          <w:tcPr>
            <w:tcW w:w="1418" w:type="dxa"/>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87 100,00</w:t>
            </w:r>
          </w:p>
        </w:tc>
        <w:tc>
          <w:tcPr>
            <w:tcW w:w="1559"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55.</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Włocławek</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Organizacja zajęć dla dzieci w wieku szkolnym</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90 851,38</w:t>
            </w:r>
          </w:p>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77 223,67</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13 627,71</w:t>
            </w:r>
          </w:p>
        </w:tc>
        <w:tc>
          <w:tcPr>
            <w:tcW w:w="1134"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36 340,55</w:t>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54 510,83</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56.</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Fabianki</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Kompetencje kluczowe dla uczniów z gminy Fabianki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155 296,63</w:t>
            </w:r>
          </w:p>
        </w:tc>
        <w:tc>
          <w:tcPr>
            <w:tcW w:w="1842" w:type="dxa"/>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132 002,13</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23 294,50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66 079,29</w:t>
            </w:r>
          </w:p>
        </w:tc>
        <w:tc>
          <w:tcPr>
            <w:tcW w:w="1417"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89 217,34</w:t>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57.</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Fabianki</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Podniesienie kompetencji kluczowych uczniów szkół podstawowych z gminy Fabianki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169 316,62</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842" w:type="dxa"/>
            <w:tcBorders/>
            <w:shd w:color="auto" w:fill="auto" w:val="clear"/>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143 919,12</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25 397,50</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66 079,30</w:t>
            </w:r>
          </w:p>
        </w:tc>
        <w:tc>
          <w:tcPr>
            <w:tcW w:w="1559"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103 237,32</w:t>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58.</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Lubraniec</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Wyrównywanie szans edukacyjnych poprzez podniesienie jakości i efektywności kształcenia ogólnego w gminie Lubraniec</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235 294,12</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200 000,00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35 294,12</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235 294,12</w:t>
            </w:r>
          </w:p>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59.</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Dostosowanie kształcenia ogólnego do potrzeb rynku pracy</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1 338 429,63</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1 137 665,18</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200 764,45</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474 926,64</w:t>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518 101,78</w:t>
            </w:r>
          </w:p>
        </w:tc>
        <w:tc>
          <w:tcPr>
            <w:tcW w:w="1559"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345 401,21</w:t>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60.</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Lubanie</w:t>
            </w:r>
          </w:p>
        </w:tc>
        <w:tc>
          <w:tcPr>
            <w:tcW w:w="1559" w:type="dxa"/>
            <w:tcBorders/>
            <w:shd w:color="auto" w:fill="FFFFFF" w:themeFill="background1" w:val="clear"/>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Poprawa jakości edukacji w Szkole Podstawowej w Lubaniu</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152 465,35</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
                <w:color w:val="000000" w:themeColor="text1"/>
                <w:sz w:val="18"/>
                <w:szCs w:val="18"/>
              </w:rPr>
            </w:pPr>
            <w:r>
              <w:rPr>
                <w:rFonts w:cs="Calibri" w:cstheme="minorHAnsi"/>
                <w:bCs/>
                <w:color w:val="000000" w:themeColor="text1"/>
                <w:kern w:val="0"/>
                <w:sz w:val="18"/>
                <w:szCs w:val="18"/>
                <w:lang w:val="pl-PL" w:eastAsia="en-US" w:bidi="ar-SA"/>
              </w:rPr>
              <w:t>129 595,54</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22 869,81</w:t>
            </w:r>
          </w:p>
        </w:tc>
        <w:tc>
          <w:tcPr>
            <w:tcW w:w="1134"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5 000,00</w:t>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80 000,00</w:t>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67 465,35</w:t>
            </w:r>
          </w:p>
        </w:tc>
        <w:tc>
          <w:tcPr>
            <w:tcW w:w="1559"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61.</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shd w:color="auto" w:fill="FFFFFF" w:themeFill="background1" w:val="clear"/>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Dostosowanie kształcenia zawodowego  do potrzeb rynku pracy  </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3 208 835,56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  2 727 510,21</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481 325,35</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875 136,96</w:t>
            </w:r>
          </w:p>
        </w:tc>
        <w:tc>
          <w:tcPr>
            <w:tcW w:w="1418"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875 136,96</w:t>
            </w:r>
          </w:p>
        </w:tc>
        <w:tc>
          <w:tcPr>
            <w:tcW w:w="1559"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875 136,96</w:t>
            </w:r>
          </w:p>
        </w:tc>
        <w:tc>
          <w:tcPr>
            <w:tcW w:w="1417"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583 424,68</w:t>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62.</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Izbica Kujawska</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Remont pomieszczeń rehabilitacji w Izbicy Kujawskiej</w:t>
            </w:r>
          </w:p>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152 941,17</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130 000,00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22 941,17</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152 941,17</w:t>
            </w:r>
          </w:p>
        </w:tc>
        <w:tc>
          <w:tcPr>
            <w:tcW w:w="1417" w:type="dxa"/>
            <w:tcBorders/>
          </w:tcPr>
          <w:p>
            <w:pPr>
              <w:pStyle w:val="Normal"/>
              <w:widowControl/>
              <w:spacing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c>
          <w:tcPr>
            <w:tcW w:w="583" w:type="dxa"/>
            <w:gridSpan w:val="2"/>
            <w:tcBorders/>
          </w:tcPr>
          <w:p>
            <w:pPr>
              <w:pStyle w:val="Normal"/>
              <w:widowControl/>
              <w:spacing w:before="0" w:after="0"/>
              <w:jc w:val="center"/>
              <w:rPr>
                <w:rFonts w:cs="Calibri" w:cstheme="minorHAnsi"/>
                <w:sz w:val="18"/>
                <w:szCs w:val="18"/>
              </w:rPr>
            </w:pPr>
            <w:r>
              <w:rPr>
                <w:rFonts w:cs="Calibri" w:cstheme="minorHAnsi"/>
                <w:kern w:val="0"/>
                <w:sz w:val="18"/>
                <w:szCs w:val="18"/>
                <w:lang w:val="pl-PL" w:eastAsia="en-US" w:bidi="ar-SA"/>
              </w:rPr>
              <w:t>63.</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Powiat Włocławski</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Zakup aparatu rezonansu magnetycznego wraz </w:t>
            </w:r>
          </w:p>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z dostosowaniem pomieszczeń przy Powiatowym Centrum Zdrowia</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1 609 446,56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1 368 029,58</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241 416,98</w:t>
            </w:r>
          </w:p>
        </w:tc>
        <w:tc>
          <w:tcPr>
            <w:tcW w:w="1134"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1 609 446,56</w:t>
            </w:r>
          </w:p>
        </w:tc>
        <w:tc>
          <w:tcPr>
            <w:tcW w:w="1418" w:type="dxa"/>
            <w:tcBorders/>
          </w:tcPr>
          <w:p>
            <w:pPr>
              <w:pStyle w:val="Normal"/>
              <w:widowControl/>
              <w:spacing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1025" w:hRule="atLeast"/>
        </w:trPr>
        <w:tc>
          <w:tcPr>
            <w:tcW w:w="3418" w:type="dxa"/>
            <w:gridSpan w:val="4"/>
            <w:tcBorders/>
            <w:shd w:color="auto" w:fill="8DB3E2" w:themeFill="text2" w:themeFillTint="66" w:val="clear"/>
          </w:tcPr>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Suma CP4</w:t>
            </w:r>
          </w:p>
        </w:tc>
        <w:tc>
          <w:tcPr>
            <w:tcW w:w="1559" w:type="dxa"/>
            <w:tcBorders/>
            <w:shd w:color="auto" w:fill="8DB3E2" w:themeFill="text2" w:themeFillTint="66" w:val="clear"/>
          </w:tcPr>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12 033 099,92</w:t>
            </w:r>
          </w:p>
        </w:tc>
        <w:tc>
          <w:tcPr>
            <w:tcW w:w="1842" w:type="dxa"/>
            <w:tcBorders/>
            <w:shd w:color="auto" w:fill="8DB3E2" w:themeFill="text2" w:themeFillTint="66" w:val="clear"/>
          </w:tcPr>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Wkład UE:</w:t>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10 138 186,57</w:t>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Środki własne:</w:t>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1 894 913,35</w:t>
            </w:r>
          </w:p>
          <w:p>
            <w:pPr>
              <w:pStyle w:val="Normal"/>
              <w:widowControl/>
              <w:spacing w:lineRule="auto" w:line="240"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tc>
        <w:tc>
          <w:tcPr>
            <w:tcW w:w="1134" w:type="dxa"/>
            <w:tcBorders/>
            <w:shd w:color="auto" w:fill="8DB3E2" w:themeFill="text2" w:themeFillTint="66" w:val="clear"/>
          </w:tcPr>
          <w:p>
            <w:pPr>
              <w:pStyle w:val="Normal"/>
              <w:widowControl/>
              <w:spacing w:before="0" w:after="0"/>
              <w:jc w:val="center"/>
              <w:rPr>
                <w:rFonts w:cs="Calibri" w:cstheme="minorHAnsi"/>
                <w:b/>
                <w:bCs/>
                <w:color w:val="000000" w:themeColor="text1"/>
                <w:sz w:val="20"/>
                <w:szCs w:val="20"/>
              </w:rPr>
            </w:pPr>
            <w:r>
              <w:rPr>
                <w:rFonts w:cs="Calibri" w:cstheme="minorHAnsi"/>
                <w:b/>
                <w:bCs/>
                <w:color w:val="000000" w:themeColor="text1"/>
                <w:kern w:val="0"/>
                <w:sz w:val="20"/>
                <w:szCs w:val="20"/>
                <w:lang w:val="pl-PL" w:eastAsia="en-US" w:bidi="ar-SA"/>
              </w:rPr>
            </w:r>
          </w:p>
          <w:p>
            <w:pPr>
              <w:pStyle w:val="Normal"/>
              <w:widowControl/>
              <w:spacing w:before="0" w:after="0"/>
              <w:jc w:val="center"/>
              <w:rPr>
                <w:rFonts w:cs="Calibri" w:cstheme="minorHAnsi"/>
                <w:b/>
                <w:bCs/>
                <w:color w:val="000000" w:themeColor="text1"/>
                <w:sz w:val="20"/>
                <w:szCs w:val="20"/>
              </w:rPr>
            </w:pPr>
            <w:r>
              <w:rPr>
                <w:rFonts w:cs="Calibri" w:cstheme="minorHAnsi"/>
                <w:b/>
                <w:bCs/>
                <w:color w:val="000000" w:themeColor="text1"/>
                <w:kern w:val="0"/>
                <w:sz w:val="20"/>
                <w:szCs w:val="20"/>
                <w:lang w:val="pl-PL" w:eastAsia="en-US" w:bidi="ar-SA"/>
              </w:rPr>
              <w:t>189 392,19</w:t>
            </w:r>
          </w:p>
        </w:tc>
        <w:tc>
          <w:tcPr>
            <w:tcW w:w="1418" w:type="dxa"/>
            <w:gridSpan w:val="2"/>
            <w:tcBorders/>
            <w:shd w:color="auto" w:fill="8DB3E2" w:themeFill="text2" w:themeFillTint="66" w:val="clear"/>
          </w:tcPr>
          <w:p>
            <w:pPr>
              <w:pStyle w:val="Normal"/>
              <w:widowControl/>
              <w:spacing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r>
          </w:p>
          <w:p>
            <w:pPr>
              <w:pStyle w:val="Normal"/>
              <w:widowControl/>
              <w:spacing w:before="0" w:after="0"/>
              <w:jc w:val="center"/>
              <w:rPr>
                <w:rFonts w:cs="Calibri" w:cstheme="minorHAnsi"/>
                <w:b/>
                <w:color w:val="000000" w:themeColor="text1"/>
                <w:sz w:val="20"/>
                <w:szCs w:val="20"/>
              </w:rPr>
            </w:pPr>
            <w:r>
              <w:rPr>
                <w:rFonts w:cs="Calibri" w:cstheme="minorHAnsi"/>
                <w:b/>
                <w:color w:val="000000" w:themeColor="text1"/>
                <w:kern w:val="0"/>
                <w:sz w:val="20"/>
                <w:szCs w:val="20"/>
                <w:lang w:val="pl-PL" w:eastAsia="en-US" w:bidi="ar-SA"/>
              </w:rPr>
              <w:t>5 960 729,90</w:t>
            </w:r>
          </w:p>
        </w:tc>
        <w:tc>
          <w:tcPr>
            <w:tcW w:w="1418" w:type="dxa"/>
            <w:tcBorders/>
            <w:shd w:color="auto" w:fill="8DB3E2" w:themeFill="text2" w:themeFillTint="66" w:val="clear"/>
          </w:tcPr>
          <w:p>
            <w:pPr>
              <w:pStyle w:val="Normal"/>
              <w:widowControl/>
              <w:spacing w:before="0" w:after="0"/>
              <w:jc w:val="center"/>
              <w:rPr>
                <w:rFonts w:cs="Calibri" w:cstheme="minorHAnsi"/>
                <w:b/>
                <w:bCs/>
                <w:color w:val="000000" w:themeColor="text1"/>
                <w:sz w:val="20"/>
                <w:szCs w:val="20"/>
              </w:rPr>
            </w:pPr>
            <w:r>
              <w:rPr>
                <w:rFonts w:cs="Calibri" w:cstheme="minorHAnsi"/>
                <w:b/>
                <w:bCs/>
                <w:color w:val="000000" w:themeColor="text1"/>
                <w:kern w:val="0"/>
                <w:sz w:val="20"/>
                <w:szCs w:val="20"/>
                <w:lang w:val="pl-PL" w:eastAsia="en-US" w:bidi="ar-SA"/>
              </w:rPr>
            </w:r>
          </w:p>
          <w:p>
            <w:pPr>
              <w:pStyle w:val="Normal"/>
              <w:widowControl/>
              <w:spacing w:before="0" w:after="0"/>
              <w:jc w:val="center"/>
              <w:rPr>
                <w:rFonts w:cs="Calibri" w:cstheme="minorHAnsi"/>
                <w:b/>
                <w:bCs/>
                <w:color w:val="000000" w:themeColor="text1"/>
                <w:sz w:val="20"/>
                <w:szCs w:val="20"/>
              </w:rPr>
            </w:pPr>
            <w:r>
              <w:rPr>
                <w:rFonts w:cs="Calibri" w:cstheme="minorHAnsi"/>
                <w:b/>
                <w:bCs/>
                <w:color w:val="000000" w:themeColor="text1"/>
                <w:kern w:val="0"/>
                <w:sz w:val="20"/>
                <w:szCs w:val="20"/>
                <w:lang w:val="pl-PL" w:eastAsia="en-US" w:bidi="ar-SA"/>
              </w:rPr>
              <w:t>2 162 165,67</w:t>
            </w:r>
          </w:p>
        </w:tc>
        <w:tc>
          <w:tcPr>
            <w:tcW w:w="1559" w:type="dxa"/>
            <w:tcBorders/>
            <w:shd w:color="auto" w:fill="8DB3E2" w:themeFill="text2" w:themeFillTint="66" w:val="clear"/>
          </w:tcPr>
          <w:p>
            <w:pPr>
              <w:pStyle w:val="Normal"/>
              <w:widowControl/>
              <w:spacing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before="0" w:after="0"/>
              <w:jc w:val="center"/>
              <w:rPr>
                <w:rFonts w:cs="Calibri" w:cstheme="minorHAnsi"/>
                <w:b/>
                <w:bCs/>
                <w:sz w:val="20"/>
                <w:szCs w:val="20"/>
              </w:rPr>
            </w:pPr>
            <w:r>
              <w:rPr>
                <w:rFonts w:cs="Calibri" w:cstheme="minorHAnsi"/>
                <w:b/>
                <w:bCs/>
                <w:kern w:val="0"/>
                <w:sz w:val="20"/>
                <w:szCs w:val="20"/>
                <w:lang w:val="pl-PL" w:eastAsia="en-US" w:bidi="ar-SA"/>
              </w:rPr>
              <w:t>1 657 908,76</w:t>
            </w:r>
          </w:p>
        </w:tc>
        <w:tc>
          <w:tcPr>
            <w:tcW w:w="1417" w:type="dxa"/>
            <w:tcBorders/>
            <w:shd w:color="auto" w:fill="8DB3E2" w:themeFill="text2" w:themeFillTint="66" w:val="clear"/>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t>2 062 903,40</w:t>
            </w:r>
          </w:p>
        </w:tc>
        <w:tc>
          <w:tcPr>
            <w:tcW w:w="1135" w:type="dxa"/>
            <w:tcBorders/>
            <w:shd w:color="auto" w:fill="8DB3E2" w:themeFill="text2" w:themeFillTint="66" w:val="clear"/>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c>
          <w:tcPr>
            <w:tcW w:w="991" w:type="dxa"/>
            <w:tcBorders/>
            <w:shd w:color="auto" w:fill="8DB3E2" w:themeFill="text2" w:themeFillTint="66" w:val="clear"/>
          </w:tcPr>
          <w:p>
            <w:pPr>
              <w:pStyle w:val="Normal"/>
              <w:widowControl/>
              <w:spacing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363" w:hRule="atLeast"/>
        </w:trPr>
        <w:tc>
          <w:tcPr>
            <w:tcW w:w="15891" w:type="dxa"/>
            <w:gridSpan w:val="14"/>
            <w:tcBorders/>
            <w:shd w:color="auto" w:fill="C6D9F1" w:themeFill="text2" w:themeFillTint="33" w:val="clear"/>
          </w:tcPr>
          <w:p>
            <w:pPr>
              <w:pStyle w:val="Normal"/>
              <w:widowControl/>
              <w:spacing w:before="0" w:after="160"/>
              <w:jc w:val="center"/>
              <w:rPr>
                <w:rFonts w:cs="Calibri" w:cstheme="minorHAnsi"/>
                <w:b/>
                <w:bCs/>
                <w:sz w:val="28"/>
                <w:szCs w:val="28"/>
              </w:rPr>
            </w:pPr>
            <w:r>
              <w:rPr>
                <w:rFonts w:cs="Calibri" w:cstheme="minorHAnsi"/>
                <w:b/>
                <w:bCs/>
                <w:kern w:val="0"/>
                <w:sz w:val="28"/>
                <w:szCs w:val="28"/>
                <w:lang w:val="pl-PL" w:eastAsia="en-US" w:bidi="ar-SA"/>
              </w:rPr>
              <w:t>CP5</w:t>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64.</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Choceń</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Uzbrojenie terenów inwestycyjnych </w:t>
              <w:br/>
              <w:t>w MOF Włocławek - rozwój gospodarczy gminy Choceń</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360 086,12</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248 840,00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111 246,12</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shd w:color="auto" w:fill="FFFFFF" w:themeFill="background1" w:val="clear"/>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360 086,12</w:t>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847"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65.</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Lubień Kujawski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Uzbrojenie terenów inwestycyjnych gminy Lubień Kujawski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208 862,00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177 532,00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 31 330,00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208 862,00</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738"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66.</w:t>
            </w:r>
          </w:p>
        </w:tc>
        <w:tc>
          <w:tcPr>
            <w:tcW w:w="1276" w:type="dxa"/>
            <w:tcBorders/>
          </w:tcPr>
          <w:p>
            <w:pPr>
              <w:pStyle w:val="Normal"/>
              <w:widowControl/>
              <w:spacing w:lineRule="auto" w:line="240" w:before="0" w:after="0"/>
              <w:jc w:val="center"/>
              <w:rPr>
                <w:rFonts w:cs="Calibri" w:cstheme="minorHAnsi"/>
                <w:bCs/>
                <w:sz w:val="18"/>
                <w:szCs w:val="18"/>
              </w:rPr>
            </w:pPr>
            <w:r>
              <w:rPr>
                <w:rFonts w:cs=""/>
                <w:kern w:val="0"/>
                <w:sz w:val="18"/>
                <w:szCs w:val="18"/>
                <w:lang w:val="pl-PL" w:eastAsia="en-US" w:bidi="ar-SA"/>
              </w:rPr>
              <w:t>Miasto</w:t>
              <w:br/>
              <w:t xml:space="preserve"> i Gmina Chodecz</w:t>
            </w:r>
          </w:p>
        </w:tc>
        <w:tc>
          <w:tcPr>
            <w:tcW w:w="1559" w:type="dxa"/>
            <w:tcBorders/>
          </w:tcPr>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t>Rozwój kultury na terenie Miasta</w:t>
              <w:br/>
              <w:t xml:space="preserve"> i Gminy Chodecz</w:t>
            </w:r>
          </w:p>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59 000,00</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Wkład UE: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50 000,00</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Środki własne: 9 000,00</w:t>
            </w:r>
          </w:p>
        </w:tc>
        <w:tc>
          <w:tcPr>
            <w:tcW w:w="1134"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59 000,00</w:t>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sz w:val="18"/>
                <w:szCs w:val="18"/>
              </w:rPr>
            </w:pPr>
            <w:r>
              <w:rPr>
                <w:rFonts w:cs="Calibri" w:cstheme="minorHAnsi"/>
                <w:b/>
                <w:kern w:val="0"/>
                <w:sz w:val="18"/>
                <w:szCs w:val="18"/>
                <w:lang w:val="pl-PL" w:eastAsia="en-US" w:bidi="ar-SA"/>
              </w:rPr>
            </w:r>
          </w:p>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67.</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Lubraniec</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Budowa </w:t>
              <w:br/>
              <w:t>i rozbudowa instytucji kultury na terenie gminy Lubraniec</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470 588,00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400 000,00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70 588,00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470 588,00</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68.</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Izbica Kujawska</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Przebudowa, remont oraz zakup wyposażenia na potrzeby prowadzenia edukacji kulturalnej </w:t>
              <w:br/>
              <w:t>w Miejsko-Gminnym Centrum Kultury w Izbicy Kujawskiej</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282 352,94</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240 000,00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42 352,94</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282 352,94</w:t>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1295" w:hRule="atLeast"/>
        </w:trPr>
        <w:tc>
          <w:tcPr>
            <w:tcW w:w="583" w:type="dxa"/>
            <w:gridSpan w:val="2"/>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69.</w:t>
            </w:r>
          </w:p>
        </w:tc>
        <w:tc>
          <w:tcPr>
            <w:tcW w:w="1276" w:type="dxa"/>
            <w:tcBorders/>
          </w:tcPr>
          <w:p>
            <w:pPr>
              <w:pStyle w:val="Normal"/>
              <w:widowControl/>
              <w:spacing w:lineRule="auto" w:line="240" w:before="0" w:after="160"/>
              <w:jc w:val="left"/>
              <w:rPr>
                <w:rFonts w:cs="Calibri" w:cstheme="minorHAnsi"/>
                <w:bCs/>
                <w:color w:val="000000" w:themeColor="text1"/>
                <w:sz w:val="18"/>
                <w:szCs w:val="18"/>
              </w:rPr>
            </w:pPr>
            <w:r>
              <w:rPr>
                <w:rFonts w:cs=""/>
                <w:kern w:val="0"/>
                <w:sz w:val="18"/>
                <w:szCs w:val="18"/>
                <w:lang w:val="pl-PL" w:eastAsia="en-US" w:bidi="ar-SA"/>
              </w:rPr>
              <w:t>Gmina Kowal</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Centrum Życia Społecznego - adaptacja Biblioteki Publicznej w miejscowości Grabkowo</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117 647,06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100 000,00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17 647,06</w:t>
            </w:r>
          </w:p>
        </w:tc>
        <w:tc>
          <w:tcPr>
            <w:tcW w:w="1134"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117 647,06</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70.</w:t>
            </w:r>
          </w:p>
        </w:tc>
        <w:tc>
          <w:tcPr>
            <w:tcW w:w="1276" w:type="dxa"/>
            <w:tcBorders/>
          </w:tcPr>
          <w:p>
            <w:pPr>
              <w:pStyle w:val="Normal"/>
              <w:widowControl/>
              <w:spacing w:lineRule="auto" w:line="240" w:before="0" w:after="0"/>
              <w:jc w:val="left"/>
              <w:rPr>
                <w:rFonts w:cs="Calibri" w:cstheme="minorHAnsi"/>
                <w:bCs/>
                <w:color w:val="000000" w:themeColor="text1"/>
                <w:sz w:val="18"/>
                <w:szCs w:val="18"/>
              </w:rPr>
            </w:pPr>
            <w:r>
              <w:rPr>
                <w:rFonts w:cs=""/>
                <w:kern w:val="0"/>
                <w:sz w:val="18"/>
                <w:szCs w:val="18"/>
                <w:lang w:val="pl-PL" w:eastAsia="en-US" w:bidi="ar-SA"/>
              </w:rPr>
              <w:t>Gmina Baruchowo</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Upowszechnianie działalności kulturowej na terenie Gminy Baruchowo</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111 500,00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88 500,00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100 000,00</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100 000,00</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71.</w:t>
            </w:r>
          </w:p>
        </w:tc>
        <w:tc>
          <w:tcPr>
            <w:tcW w:w="1276" w:type="dxa"/>
            <w:tcBorders/>
          </w:tcPr>
          <w:p>
            <w:pPr>
              <w:pStyle w:val="Normal"/>
              <w:widowControl/>
              <w:spacing w:lineRule="auto" w:line="240" w:before="0" w:after="0"/>
              <w:jc w:val="left"/>
              <w:rPr>
                <w:rFonts w:cs="Calibri" w:cstheme="minorHAnsi"/>
                <w:bCs/>
                <w:color w:val="000000" w:themeColor="text1"/>
                <w:sz w:val="18"/>
                <w:szCs w:val="18"/>
              </w:rPr>
            </w:pPr>
            <w:r>
              <w:rPr>
                <w:rFonts w:cs=""/>
                <w:kern w:val="0"/>
                <w:sz w:val="18"/>
                <w:szCs w:val="18"/>
                <w:lang w:val="pl-PL" w:eastAsia="en-US" w:bidi="ar-SA"/>
              </w:rPr>
              <w:t>Gmina Lubanie</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Wsparcie działalności Gminnego Ośrodka Kultury w Lubaniu </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236 806,00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201 285,00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35 521,00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100 000,00</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136 806,00</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72.</w:t>
            </w:r>
          </w:p>
        </w:tc>
        <w:tc>
          <w:tcPr>
            <w:tcW w:w="1276" w:type="dxa"/>
            <w:tcBorders/>
          </w:tcPr>
          <w:p>
            <w:pPr>
              <w:pStyle w:val="Normal"/>
              <w:widowControl/>
              <w:spacing w:lineRule="auto" w:line="240" w:before="0" w:after="0"/>
              <w:jc w:val="left"/>
              <w:rPr>
                <w:rFonts w:cs="Calibri" w:cstheme="minorHAnsi"/>
                <w:bCs/>
                <w:color w:val="000000" w:themeColor="text1"/>
                <w:sz w:val="18"/>
                <w:szCs w:val="18"/>
              </w:rPr>
            </w:pPr>
            <w:r>
              <w:rPr>
                <w:rFonts w:cs=""/>
                <w:kern w:val="0"/>
                <w:sz w:val="18"/>
                <w:szCs w:val="18"/>
                <w:lang w:val="pl-PL" w:eastAsia="en-US" w:bidi="ar-SA"/>
              </w:rPr>
              <w:t>Gmina Włocławek</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Doposażenie instytucji kultury. </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523 214,12</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444 732,00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78 482,12</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523 214,12</w:t>
            </w:r>
          </w:p>
        </w:tc>
        <w:tc>
          <w:tcPr>
            <w:tcW w:w="1418"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559"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73.</w:t>
            </w:r>
          </w:p>
        </w:tc>
        <w:tc>
          <w:tcPr>
            <w:tcW w:w="1276" w:type="dxa"/>
            <w:tcBorders/>
          </w:tcPr>
          <w:p>
            <w:pPr>
              <w:pStyle w:val="Normal"/>
              <w:widowControl/>
              <w:spacing w:lineRule="auto" w:line="240" w:before="0" w:after="0"/>
              <w:jc w:val="left"/>
              <w:rPr>
                <w:rFonts w:cs="Calibri" w:cstheme="minorHAnsi"/>
                <w:bCs/>
                <w:sz w:val="18"/>
                <w:szCs w:val="18"/>
              </w:rPr>
            </w:pPr>
            <w:r>
              <w:rPr>
                <w:rFonts w:cs=""/>
                <w:kern w:val="0"/>
                <w:sz w:val="18"/>
                <w:szCs w:val="18"/>
                <w:lang w:val="pl-PL" w:eastAsia="en-US" w:bidi="ar-SA"/>
              </w:rPr>
              <w:t>Miasto</w:t>
              <w:br/>
              <w:t xml:space="preserve"> i Gmina Chodecz</w:t>
            </w:r>
          </w:p>
        </w:tc>
        <w:tc>
          <w:tcPr>
            <w:tcW w:w="1559" w:type="dxa"/>
            <w:tcBorders/>
          </w:tcPr>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t>Rozwój turystyki na terenie Miasta i Gminy Chodecz</w:t>
            </w:r>
          </w:p>
        </w:tc>
        <w:tc>
          <w:tcPr>
            <w:tcW w:w="1559"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59 000,00</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Wkład UE: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50 000,00</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Środki własne: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9 000,00</w:t>
            </w:r>
          </w:p>
        </w:tc>
        <w:tc>
          <w:tcPr>
            <w:tcW w:w="1134"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59 000,00</w:t>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74.</w:t>
            </w:r>
          </w:p>
        </w:tc>
        <w:tc>
          <w:tcPr>
            <w:tcW w:w="1276" w:type="dxa"/>
            <w:tcBorders/>
          </w:tcPr>
          <w:p>
            <w:pPr>
              <w:pStyle w:val="Normal"/>
              <w:widowControl/>
              <w:spacing w:lineRule="auto" w:line="240" w:before="0" w:after="0"/>
              <w:jc w:val="left"/>
              <w:rPr>
                <w:rFonts w:cs="Calibri" w:cstheme="minorHAnsi"/>
                <w:bCs/>
                <w:color w:val="000000" w:themeColor="text1"/>
                <w:sz w:val="18"/>
                <w:szCs w:val="18"/>
              </w:rPr>
            </w:pPr>
            <w:r>
              <w:rPr>
                <w:rFonts w:cs=""/>
                <w:kern w:val="0"/>
                <w:sz w:val="18"/>
                <w:szCs w:val="18"/>
                <w:lang w:val="pl-PL" w:eastAsia="en-US" w:bidi="ar-SA"/>
              </w:rPr>
              <w:t>Gmina Baruchowo</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Rozbudowa infrastruktury turystycznej na terenie gminy Baruchowo</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50 000,00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50 000,00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50 000,00</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50 000,00</w:t>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75.</w:t>
            </w:r>
          </w:p>
        </w:tc>
        <w:tc>
          <w:tcPr>
            <w:tcW w:w="1276" w:type="dxa"/>
            <w:tcBorders/>
          </w:tcPr>
          <w:p>
            <w:pPr>
              <w:pStyle w:val="Normal"/>
              <w:widowControl/>
              <w:spacing w:lineRule="auto" w:line="240" w:before="0" w:after="0"/>
              <w:jc w:val="left"/>
              <w:rPr>
                <w:rFonts w:cs="Calibri" w:cstheme="minorHAnsi"/>
                <w:bCs/>
                <w:color w:val="000000" w:themeColor="text1"/>
                <w:sz w:val="18"/>
                <w:szCs w:val="18"/>
              </w:rPr>
            </w:pPr>
            <w:r>
              <w:rPr>
                <w:rFonts w:cs=""/>
                <w:kern w:val="0"/>
                <w:sz w:val="18"/>
                <w:szCs w:val="18"/>
                <w:lang w:val="pl-PL" w:eastAsia="en-US" w:bidi="ar-SA"/>
              </w:rPr>
              <w:t>Gmina Izbica Kujawska</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Rozwój infrastruktury turystycznej, rekreacyjnej wraz z zakupem wyposażenia i sprzętu na terenie Gminy Izbica Kujawska</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178 390,38</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151 631,83</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26 758,55</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178 390,38</w:t>
            </w:r>
          </w:p>
        </w:tc>
        <w:tc>
          <w:tcPr>
            <w:tcW w:w="1417"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1086" w:hRule="atLeast"/>
        </w:trPr>
        <w:tc>
          <w:tcPr>
            <w:tcW w:w="583" w:type="dxa"/>
            <w:gridSpan w:val="2"/>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76.</w:t>
            </w:r>
          </w:p>
        </w:tc>
        <w:tc>
          <w:tcPr>
            <w:tcW w:w="1276" w:type="dxa"/>
            <w:tcBorders/>
          </w:tcPr>
          <w:p>
            <w:pPr>
              <w:pStyle w:val="Normal"/>
              <w:widowControl/>
              <w:spacing w:lineRule="auto" w:line="240" w:before="0" w:after="160"/>
              <w:jc w:val="left"/>
              <w:rPr>
                <w:rFonts w:cs="Calibri" w:cstheme="minorHAnsi"/>
                <w:bCs/>
                <w:color w:val="000000" w:themeColor="text1"/>
                <w:sz w:val="18"/>
                <w:szCs w:val="18"/>
              </w:rPr>
            </w:pPr>
            <w:r>
              <w:rPr>
                <w:rFonts w:cs=""/>
                <w:kern w:val="0"/>
                <w:sz w:val="18"/>
                <w:szCs w:val="18"/>
                <w:lang w:val="pl-PL" w:eastAsia="en-US" w:bidi="ar-SA"/>
              </w:rPr>
              <w:t>Gmina Lubraniec</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Rozwój infrastruktury i promocja oferty turystycznej w Gminie Lubraniec</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481 181,51</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409 004,28</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72 177,23</w:t>
            </w:r>
          </w:p>
        </w:tc>
        <w:tc>
          <w:tcPr>
            <w:tcW w:w="1134"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481 181,51</w:t>
            </w:r>
          </w:p>
        </w:tc>
        <w:tc>
          <w:tcPr>
            <w:tcW w:w="1418"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rHeight w:val="806" w:hRule="atLeast"/>
        </w:trPr>
        <w:tc>
          <w:tcPr>
            <w:tcW w:w="583" w:type="dxa"/>
            <w:gridSpan w:val="2"/>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77.</w:t>
            </w:r>
          </w:p>
        </w:tc>
        <w:tc>
          <w:tcPr>
            <w:tcW w:w="1276" w:type="dxa"/>
            <w:tcBorders/>
          </w:tcPr>
          <w:p>
            <w:pPr>
              <w:pStyle w:val="Normal"/>
              <w:widowControl/>
              <w:spacing w:lineRule="auto" w:line="240" w:before="0" w:after="160"/>
              <w:jc w:val="left"/>
              <w:rPr>
                <w:rFonts w:cs="Calibri" w:cstheme="minorHAnsi"/>
                <w:bCs/>
                <w:color w:val="000000" w:themeColor="text1"/>
                <w:sz w:val="18"/>
                <w:szCs w:val="18"/>
              </w:rPr>
            </w:pPr>
            <w:r>
              <w:rPr>
                <w:rFonts w:cs=""/>
                <w:kern w:val="0"/>
                <w:sz w:val="18"/>
                <w:szCs w:val="18"/>
                <w:lang w:val="pl-PL" w:eastAsia="en-US" w:bidi="ar-SA"/>
              </w:rPr>
              <w:t>Gmina Miasto Włocławek</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 Maja woonerfem</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4 036 084,09</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2 000 695,46</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2 035 388,63</w:t>
            </w:r>
          </w:p>
        </w:tc>
        <w:tc>
          <w:tcPr>
            <w:tcW w:w="1134"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1 704 615,36</w:t>
            </w:r>
          </w:p>
        </w:tc>
        <w:tc>
          <w:tcPr>
            <w:tcW w:w="1418" w:type="dxa"/>
            <w:gridSpan w:val="2"/>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2 331 468,73</w:t>
            </w:r>
          </w:p>
        </w:tc>
        <w:tc>
          <w:tcPr>
            <w:tcW w:w="1418"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160"/>
              <w:jc w:val="left"/>
              <w:rPr>
                <w:rFonts w:cs="Calibri" w:cstheme="minorHAnsi"/>
                <w:sz w:val="18"/>
                <w:szCs w:val="18"/>
              </w:rPr>
            </w:pPr>
            <w:r>
              <w:rPr>
                <w:rFonts w:cs="Calibri" w:cstheme="minorHAnsi"/>
                <w:kern w:val="0"/>
                <w:sz w:val="18"/>
                <w:szCs w:val="18"/>
                <w:lang w:val="pl-PL" w:eastAsia="en-US" w:bidi="ar-SA"/>
              </w:rPr>
              <w:t>78.</w:t>
            </w:r>
          </w:p>
        </w:tc>
        <w:tc>
          <w:tcPr>
            <w:tcW w:w="1276" w:type="dxa"/>
            <w:tcBorders/>
          </w:tcPr>
          <w:p>
            <w:pPr>
              <w:pStyle w:val="Normal"/>
              <w:widowControl/>
              <w:spacing w:lineRule="auto" w:line="240" w:before="0" w:after="160"/>
              <w:jc w:val="left"/>
              <w:rPr>
                <w:rFonts w:cs="Calibri" w:cstheme="minorHAnsi"/>
                <w:bCs/>
                <w:color w:val="000000" w:themeColor="text1"/>
                <w:sz w:val="18"/>
                <w:szCs w:val="18"/>
              </w:rPr>
            </w:pPr>
            <w:r>
              <w:rPr>
                <w:rFonts w:cs=""/>
                <w:kern w:val="0"/>
                <w:sz w:val="18"/>
                <w:szCs w:val="18"/>
                <w:lang w:val="pl-PL" w:eastAsia="en-US" w:bidi="ar-SA"/>
              </w:rPr>
              <w:t>Gmina Lubanie</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Odnowa przestrzeni publicznej poprzez modernizację obiektów użyteczności publicznej na potrzeby społeczności lokalnej</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148 856,00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126 527,00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22 329,00</w:t>
            </w:r>
          </w:p>
        </w:tc>
        <w:tc>
          <w:tcPr>
            <w:tcW w:w="1134"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55 000,00</w:t>
            </w:r>
          </w:p>
        </w:tc>
        <w:tc>
          <w:tcPr>
            <w:tcW w:w="1418" w:type="dxa"/>
            <w:gridSpan w:val="2"/>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9 500,00</w:t>
            </w:r>
          </w:p>
        </w:tc>
        <w:tc>
          <w:tcPr>
            <w:tcW w:w="1418"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40 000,00</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44 356,00</w:t>
            </w:r>
          </w:p>
        </w:tc>
        <w:tc>
          <w:tcPr>
            <w:tcW w:w="1417"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160"/>
              <w:jc w:val="left"/>
              <w:rPr>
                <w:rFonts w:cs="Calibri" w:cstheme="minorHAnsi"/>
                <w:sz w:val="18"/>
                <w:szCs w:val="18"/>
              </w:rPr>
            </w:pPr>
            <w:r>
              <w:rPr>
                <w:rFonts w:cs="Calibri" w:cstheme="minorHAnsi"/>
                <w:kern w:val="0"/>
                <w:sz w:val="18"/>
                <w:szCs w:val="18"/>
                <w:lang w:val="pl-PL" w:eastAsia="en-US" w:bidi="ar-SA"/>
              </w:rPr>
              <w:t>79.</w:t>
            </w:r>
          </w:p>
        </w:tc>
        <w:tc>
          <w:tcPr>
            <w:tcW w:w="1276" w:type="dxa"/>
            <w:tcBorders/>
          </w:tcPr>
          <w:p>
            <w:pPr>
              <w:pStyle w:val="Normal"/>
              <w:widowControl/>
              <w:spacing w:lineRule="auto" w:line="240" w:before="0" w:after="160"/>
              <w:jc w:val="left"/>
              <w:rPr>
                <w:rFonts w:cs="Calibri" w:cstheme="minorHAnsi"/>
                <w:bCs/>
                <w:color w:val="000000" w:themeColor="text1"/>
                <w:sz w:val="18"/>
                <w:szCs w:val="18"/>
              </w:rPr>
            </w:pPr>
            <w:r>
              <w:rPr>
                <w:rFonts w:cs=""/>
                <w:kern w:val="0"/>
                <w:sz w:val="18"/>
                <w:szCs w:val="18"/>
                <w:lang w:val="pl-PL" w:eastAsia="en-US" w:bidi="ar-SA"/>
              </w:rPr>
              <w:t>Gmina Choceń</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Odnowa przestrzeni publicznych na terenie gminy Choceń </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205 882,00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175 000,00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30 882,00</w:t>
            </w:r>
          </w:p>
        </w:tc>
        <w:tc>
          <w:tcPr>
            <w:tcW w:w="1134"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16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205 882,00</w:t>
            </w:r>
          </w:p>
        </w:tc>
        <w:tc>
          <w:tcPr>
            <w:tcW w:w="1418"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rHeight w:val="847" w:hRule="atLeast"/>
        </w:trPr>
        <w:tc>
          <w:tcPr>
            <w:tcW w:w="583" w:type="dxa"/>
            <w:gridSpan w:val="2"/>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80.</w:t>
            </w:r>
          </w:p>
        </w:tc>
        <w:tc>
          <w:tcPr>
            <w:tcW w:w="1276" w:type="dxa"/>
            <w:tcBorders/>
          </w:tcPr>
          <w:p>
            <w:pPr>
              <w:pStyle w:val="Normal"/>
              <w:widowControl/>
              <w:spacing w:lineRule="auto" w:line="240" w:before="0" w:after="160"/>
              <w:jc w:val="left"/>
              <w:rPr>
                <w:rFonts w:cs="Calibri" w:cstheme="minorHAnsi"/>
                <w:bCs/>
                <w:color w:val="000000" w:themeColor="text1"/>
                <w:sz w:val="18"/>
                <w:szCs w:val="18"/>
              </w:rPr>
            </w:pPr>
            <w:r>
              <w:rPr>
                <w:rFonts w:cs=""/>
                <w:kern w:val="0"/>
                <w:sz w:val="18"/>
                <w:szCs w:val="18"/>
                <w:lang w:val="pl-PL" w:eastAsia="en-US" w:bidi="ar-SA"/>
              </w:rPr>
              <w:t>Gmina Kowal</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Odnowa przestrzeni publicznej w miejscowości Więsławice</w:t>
            </w:r>
          </w:p>
        </w:tc>
        <w:tc>
          <w:tcPr>
            <w:tcW w:w="1559" w:type="dxa"/>
            <w:tcBorders/>
          </w:tcPr>
          <w:p>
            <w:pPr>
              <w:pStyle w:val="Normal"/>
              <w:widowControl/>
              <w:spacing w:lineRule="auto" w:line="240" w:before="0" w:after="16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   </w:t>
            </w:r>
          </w:p>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 xml:space="preserve">    </w:t>
            </w:r>
            <w:r>
              <w:rPr>
                <w:rFonts w:cs="Calibri" w:cstheme="minorHAnsi"/>
                <w:bCs/>
                <w:color w:val="000000" w:themeColor="text1"/>
                <w:kern w:val="0"/>
                <w:sz w:val="18"/>
                <w:szCs w:val="18"/>
                <w:lang w:val="pl-PL" w:eastAsia="en-US" w:bidi="ar-SA"/>
              </w:rPr>
              <w:t>117 647,06</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100 000,00</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17 647,06</w:t>
            </w:r>
          </w:p>
        </w:tc>
        <w:tc>
          <w:tcPr>
            <w:tcW w:w="1134"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117 647,06</w:t>
            </w:r>
          </w:p>
        </w:tc>
        <w:tc>
          <w:tcPr>
            <w:tcW w:w="1417"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rHeight w:val="927" w:hRule="atLeast"/>
        </w:trPr>
        <w:tc>
          <w:tcPr>
            <w:tcW w:w="583" w:type="dxa"/>
            <w:gridSpan w:val="2"/>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81.</w:t>
            </w:r>
          </w:p>
        </w:tc>
        <w:tc>
          <w:tcPr>
            <w:tcW w:w="1276" w:type="dxa"/>
            <w:tcBorders/>
          </w:tcPr>
          <w:p>
            <w:pPr>
              <w:pStyle w:val="Normal"/>
              <w:widowControl/>
              <w:spacing w:lineRule="auto" w:line="240" w:before="0" w:after="160"/>
              <w:jc w:val="left"/>
              <w:rPr>
                <w:rFonts w:cs="Calibri" w:cstheme="minorHAnsi"/>
                <w:bCs/>
                <w:color w:val="000000" w:themeColor="text1"/>
                <w:sz w:val="18"/>
                <w:szCs w:val="18"/>
              </w:rPr>
            </w:pPr>
            <w:r>
              <w:rPr>
                <w:rFonts w:cs=""/>
                <w:kern w:val="0"/>
                <w:sz w:val="18"/>
                <w:szCs w:val="18"/>
                <w:lang w:val="pl-PL" w:eastAsia="en-US" w:bidi="ar-SA"/>
              </w:rPr>
              <w:t>Gmina Brześć Kujawski</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Odnowa przestrzeni publicznej na obszarze miasta Brześć Kujawski</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202 440,94</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172 074,80</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30 366,14</w:t>
            </w:r>
          </w:p>
        </w:tc>
        <w:tc>
          <w:tcPr>
            <w:tcW w:w="1134"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202 440,94</w:t>
            </w:r>
          </w:p>
        </w:tc>
        <w:tc>
          <w:tcPr>
            <w:tcW w:w="1559" w:type="dxa"/>
            <w:tcBorders/>
          </w:tcPr>
          <w:p>
            <w:pPr>
              <w:pStyle w:val="Normal"/>
              <w:widowControl/>
              <w:spacing w:lineRule="auto" w:line="240" w:before="0" w:after="16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82.</w:t>
            </w:r>
          </w:p>
        </w:tc>
        <w:tc>
          <w:tcPr>
            <w:tcW w:w="1276" w:type="dxa"/>
            <w:tcBorders/>
          </w:tcPr>
          <w:p>
            <w:pPr>
              <w:pStyle w:val="Normal"/>
              <w:widowControl/>
              <w:spacing w:lineRule="auto" w:line="240" w:before="0" w:after="160"/>
              <w:jc w:val="center"/>
              <w:rPr>
                <w:rFonts w:cs="Calibri" w:cstheme="minorHAnsi"/>
                <w:bCs/>
                <w:color w:val="000000" w:themeColor="text1"/>
                <w:sz w:val="18"/>
                <w:szCs w:val="18"/>
              </w:rPr>
            </w:pPr>
            <w:r>
              <w:rPr>
                <w:rFonts w:cs=""/>
                <w:kern w:val="0"/>
                <w:sz w:val="18"/>
                <w:szCs w:val="18"/>
                <w:lang w:val="pl-PL" w:eastAsia="en-US" w:bidi="ar-SA"/>
              </w:rPr>
              <w:t>Miasto i Gmina Chodecz</w:t>
            </w:r>
          </w:p>
        </w:tc>
        <w:tc>
          <w:tcPr>
            <w:tcW w:w="1559" w:type="dxa"/>
            <w:tcBorders/>
          </w:tcPr>
          <w:p>
            <w:pPr>
              <w:pStyle w:val="Normal"/>
              <w:widowControl/>
              <w:spacing w:lineRule="auto" w:line="240" w:before="0" w:after="160"/>
              <w:jc w:val="left"/>
              <w:rPr>
                <w:rFonts w:cs="Calibri" w:cstheme="minorHAnsi"/>
                <w:bCs/>
                <w:sz w:val="18"/>
                <w:szCs w:val="18"/>
              </w:rPr>
            </w:pPr>
            <w:r>
              <w:rPr>
                <w:rFonts w:cs="Calibri" w:cstheme="minorHAnsi"/>
                <w:bCs/>
                <w:color w:val="000000" w:themeColor="text1"/>
                <w:kern w:val="0"/>
                <w:sz w:val="18"/>
                <w:szCs w:val="18"/>
                <w:lang w:val="pl-PL" w:eastAsia="en-US" w:bidi="ar-SA"/>
              </w:rPr>
              <w:t>Odnowa przestrzeni publicznych na terenie Miasta i Gminy Chodecz</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Cs/>
                <w:sz w:val="18"/>
                <w:szCs w:val="18"/>
              </w:rPr>
            </w:pPr>
            <w:r>
              <w:rPr>
                <w:rFonts w:cs="Calibri" w:cstheme="minorHAnsi"/>
                <w:bCs/>
                <w:color w:val="000000" w:themeColor="text1"/>
                <w:kern w:val="0"/>
                <w:sz w:val="18"/>
                <w:szCs w:val="18"/>
                <w:lang w:val="pl-PL" w:eastAsia="en-US" w:bidi="ar-SA"/>
              </w:rPr>
              <w:t>180 000,00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153 045,00</w:t>
            </w:r>
          </w:p>
          <w:p>
            <w:pPr>
              <w:pStyle w:val="Normal"/>
              <w:widowControl/>
              <w:spacing w:lineRule="auto" w:line="240" w:before="0" w:after="0"/>
              <w:jc w:val="center"/>
              <w:rPr>
                <w:rFonts w:cs="Calibri" w:cstheme="minorHAnsi"/>
                <w:bCs/>
                <w:sz w:val="18"/>
                <w:szCs w:val="18"/>
              </w:rPr>
            </w:pPr>
            <w:r>
              <w:rPr>
                <w:rFonts w:cs="Calibri" w:cstheme="minorHAnsi"/>
                <w:bCs/>
                <w:color w:val="000000" w:themeColor="text1"/>
                <w:kern w:val="0"/>
                <w:sz w:val="18"/>
                <w:szCs w:val="18"/>
                <w:lang w:val="pl-PL" w:eastAsia="en-US" w:bidi="ar-SA"/>
              </w:rPr>
              <w:t>Środki własne: 26 955,00</w:t>
            </w:r>
          </w:p>
        </w:tc>
        <w:tc>
          <w:tcPr>
            <w:tcW w:w="1134"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1418" w:type="dxa"/>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180 000,00</w:t>
            </w:r>
          </w:p>
        </w:tc>
        <w:tc>
          <w:tcPr>
            <w:tcW w:w="1559" w:type="dxa"/>
            <w:tcBorders/>
          </w:tcPr>
          <w:p>
            <w:pPr>
              <w:pStyle w:val="Normal"/>
              <w:widowControl/>
              <w:spacing w:lineRule="auto" w:line="240" w:before="0" w:after="16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rHeight w:val="805" w:hRule="atLeast"/>
        </w:trPr>
        <w:tc>
          <w:tcPr>
            <w:tcW w:w="583" w:type="dxa"/>
            <w:gridSpan w:val="2"/>
            <w:tcBorders/>
          </w:tcPr>
          <w:p>
            <w:pPr>
              <w:pStyle w:val="Normal"/>
              <w:widowControl/>
              <w:spacing w:lineRule="auto" w:line="240" w:before="0" w:after="160"/>
              <w:jc w:val="center"/>
              <w:rPr>
                <w:rFonts w:cs="Calibri" w:cstheme="minorHAnsi"/>
                <w:sz w:val="18"/>
                <w:szCs w:val="18"/>
              </w:rPr>
            </w:pPr>
            <w:r>
              <w:rPr>
                <w:rFonts w:cs="Calibri" w:cstheme="minorHAnsi"/>
                <w:kern w:val="0"/>
                <w:sz w:val="18"/>
                <w:szCs w:val="18"/>
                <w:lang w:val="pl-PL" w:eastAsia="en-US" w:bidi="ar-SA"/>
              </w:rPr>
              <w:t>83.</w:t>
            </w:r>
          </w:p>
        </w:tc>
        <w:tc>
          <w:tcPr>
            <w:tcW w:w="1276" w:type="dxa"/>
            <w:tcBorders/>
          </w:tcPr>
          <w:p>
            <w:pPr>
              <w:pStyle w:val="Normal"/>
              <w:widowControl/>
              <w:spacing w:lineRule="auto" w:line="240" w:before="0" w:after="160"/>
              <w:jc w:val="center"/>
              <w:rPr>
                <w:rFonts w:cs="Calibri" w:cstheme="minorHAnsi"/>
                <w:bCs/>
                <w:color w:val="000000" w:themeColor="text1"/>
                <w:sz w:val="18"/>
                <w:szCs w:val="18"/>
              </w:rPr>
            </w:pPr>
            <w:r>
              <w:rPr>
                <w:rFonts w:cs=""/>
                <w:kern w:val="0"/>
                <w:sz w:val="18"/>
                <w:szCs w:val="18"/>
                <w:lang w:val="pl-PL" w:eastAsia="en-US" w:bidi="ar-SA"/>
              </w:rPr>
              <w:t>Gmina Izbica Kujawska</w:t>
            </w:r>
          </w:p>
        </w:tc>
        <w:tc>
          <w:tcPr>
            <w:tcW w:w="1559"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Odnowa przestrzeni publicznych na terenie Gminy Izbica Kujawska</w:t>
            </w:r>
          </w:p>
        </w:tc>
        <w:tc>
          <w:tcPr>
            <w:tcW w:w="1559"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284 907,89</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 </w:t>
            </w:r>
            <w:r>
              <w:rPr>
                <w:rFonts w:cs="Calibri" w:cstheme="minorHAnsi"/>
                <w:bCs/>
                <w:color w:val="000000" w:themeColor="text1"/>
                <w:kern w:val="0"/>
                <w:sz w:val="18"/>
                <w:szCs w:val="18"/>
                <w:lang w:val="pl-PL" w:eastAsia="en-US" w:bidi="ar-SA"/>
              </w:rPr>
              <w:t>242 171,71</w:t>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42 736,18</w:t>
            </w:r>
          </w:p>
        </w:tc>
        <w:tc>
          <w:tcPr>
            <w:tcW w:w="1134" w:type="dxa"/>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160"/>
              <w:jc w:val="left"/>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16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16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284 907,89</w:t>
            </w:r>
          </w:p>
        </w:tc>
        <w:tc>
          <w:tcPr>
            <w:tcW w:w="1559" w:type="dxa"/>
            <w:tcBorders/>
          </w:tcPr>
          <w:p>
            <w:pPr>
              <w:pStyle w:val="Normal"/>
              <w:widowControl/>
              <w:spacing w:lineRule="auto" w:line="240" w:before="0" w:after="16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16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84.</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Lubień Kujawski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Odnowa przestrzeni publicznej w Lubieniu Kujawskim</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204 152,00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Wkład UE:</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173 529,00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30 623,00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35 000,00</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169 152,00</w:t>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85.</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Lubraniec</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Odnowa przestrzeni publicznej na terenie Parku Kulturowego w Sarnowie</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257 100,00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218 470,00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38 630,00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257 100,00</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86.</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Włocławek</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Odnowa przestrzeni publicznej na terenie Gminy Włocławek.</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424 030,14</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360 425,62</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  63 604,52</w:t>
            </w:r>
          </w:p>
        </w:tc>
        <w:tc>
          <w:tcPr>
            <w:tcW w:w="1134"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424 030,14</w:t>
            </w:r>
          </w:p>
        </w:tc>
        <w:tc>
          <w:tcPr>
            <w:tcW w:w="1418"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87.</w:t>
            </w:r>
          </w:p>
        </w:tc>
        <w:tc>
          <w:tcPr>
            <w:tcW w:w="1276" w:type="dxa"/>
            <w:tcBorders/>
          </w:tcPr>
          <w:p>
            <w:pPr>
              <w:pStyle w:val="Normal"/>
              <w:widowControl/>
              <w:spacing w:lineRule="auto" w:line="240" w:before="0" w:after="0"/>
              <w:jc w:val="center"/>
              <w:rPr>
                <w:rFonts w:cs="Calibri" w:cstheme="minorHAnsi"/>
                <w:bCs/>
                <w:sz w:val="18"/>
                <w:szCs w:val="18"/>
              </w:rPr>
            </w:pPr>
            <w:r>
              <w:rPr>
                <w:rFonts w:cs=""/>
                <w:kern w:val="0"/>
                <w:sz w:val="18"/>
                <w:szCs w:val="18"/>
                <w:lang w:val="pl-PL" w:eastAsia="en-US" w:bidi="ar-SA"/>
              </w:rPr>
              <w:t>Gmina Boniewo</w:t>
            </w:r>
          </w:p>
        </w:tc>
        <w:tc>
          <w:tcPr>
            <w:tcW w:w="1559" w:type="dxa"/>
            <w:tcBorders/>
          </w:tcPr>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t>Rewitalizacja - odnowa przestrzeni publicznej na terenie Gminy Boniewo</w:t>
            </w:r>
          </w:p>
          <w:p>
            <w:pPr>
              <w:pStyle w:val="Normal"/>
              <w:widowControl/>
              <w:spacing w:lineRule="auto" w:line="240" w:before="0" w:after="0"/>
              <w:jc w:val="left"/>
              <w:rPr>
                <w:rFonts w:cs="Calibri" w:cstheme="minorHAnsi"/>
                <w:bCs/>
                <w:sz w:val="18"/>
                <w:szCs w:val="18"/>
              </w:rPr>
            </w:pPr>
            <w:r>
              <w:rPr>
                <w:rFonts w:cs="Calibri" w:cstheme="minorHAnsi"/>
                <w:bCs/>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167 435,52</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Wkład UE: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 xml:space="preserve"> </w:t>
            </w:r>
            <w:r>
              <w:rPr>
                <w:rFonts w:cs="Calibri" w:cstheme="minorHAnsi"/>
                <w:bCs/>
                <w:kern w:val="0"/>
                <w:sz w:val="18"/>
                <w:szCs w:val="18"/>
                <w:lang w:val="pl-PL" w:eastAsia="en-US" w:bidi="ar-SA"/>
              </w:rPr>
              <w:t>142 320,20</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Środki własne: 25 115,32</w:t>
            </w:r>
          </w:p>
        </w:tc>
        <w:tc>
          <w:tcPr>
            <w:tcW w:w="1134"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20 000,00</w:t>
            </w:r>
          </w:p>
        </w:tc>
        <w:tc>
          <w:tcPr>
            <w:tcW w:w="1559"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30 000,00</w:t>
            </w:r>
          </w:p>
        </w:tc>
        <w:tc>
          <w:tcPr>
            <w:tcW w:w="1417"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40 000,00</w:t>
            </w:r>
          </w:p>
        </w:tc>
        <w:tc>
          <w:tcPr>
            <w:tcW w:w="1135" w:type="dxa"/>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r>
          </w:p>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77 435,52</w:t>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88.</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Fabianki</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Odnowa przestrzeni publicznej w gminie Fabianki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90 850,59</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77 223,00</w:t>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Środki własne: 13 627,59</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90 850,59</w:t>
            </w:r>
          </w:p>
        </w:tc>
        <w:tc>
          <w:tcPr>
            <w:tcW w:w="1559"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70"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89.</w:t>
            </w:r>
          </w:p>
        </w:tc>
        <w:tc>
          <w:tcPr>
            <w:tcW w:w="1276" w:type="dxa"/>
            <w:tcBorders/>
          </w:tcPr>
          <w:p>
            <w:pPr>
              <w:pStyle w:val="Normal"/>
              <w:widowControl/>
              <w:spacing w:lineRule="auto" w:line="240" w:before="0" w:after="0"/>
              <w:jc w:val="center"/>
              <w:rPr>
                <w:rFonts w:cs="Calibri" w:cstheme="minorHAnsi"/>
                <w:bCs/>
                <w:color w:val="000000" w:themeColor="text1"/>
                <w:sz w:val="18"/>
                <w:szCs w:val="18"/>
              </w:rPr>
            </w:pPr>
            <w:r>
              <w:rPr>
                <w:rFonts w:cs=""/>
                <w:kern w:val="0"/>
                <w:sz w:val="18"/>
                <w:szCs w:val="18"/>
                <w:lang w:val="pl-PL" w:eastAsia="en-US" w:bidi="ar-SA"/>
              </w:rPr>
              <w:t>Gmina Baruchowo</w:t>
            </w:r>
          </w:p>
        </w:tc>
        <w:tc>
          <w:tcPr>
            <w:tcW w:w="1559" w:type="dxa"/>
            <w:tcBorders/>
          </w:tcPr>
          <w:p>
            <w:pPr>
              <w:pStyle w:val="Normal"/>
              <w:widowControl/>
              <w:spacing w:lineRule="auto" w:line="240" w:before="0" w:after="0"/>
              <w:jc w:val="left"/>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Zagospodarowanie terenów przestrzeni publicznej</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200 000,00</w:t>
            </w:r>
          </w:p>
        </w:tc>
        <w:tc>
          <w:tcPr>
            <w:tcW w:w="1842"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 xml:space="preserve">Wkład UE: </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170 000,00</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t>Środki własne: 30 000,00</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50 000,00</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50 000,00</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p>
            <w:pPr>
              <w:pStyle w:val="Normal"/>
              <w:widowControl/>
              <w:spacing w:lineRule="auto" w:line="240" w:before="0" w:after="0"/>
              <w:jc w:val="center"/>
              <w:rPr>
                <w:rFonts w:cs="Calibri" w:cstheme="minorHAnsi"/>
                <w:b/>
                <w:bCs/>
                <w:color w:val="000000" w:themeColor="text1"/>
                <w:sz w:val="18"/>
                <w:szCs w:val="18"/>
              </w:rPr>
            </w:pPr>
            <w:r>
              <w:rPr>
                <w:rFonts w:cs="Calibri" w:cstheme="minorHAnsi"/>
                <w:bCs/>
                <w:color w:val="000000" w:themeColor="text1"/>
                <w:kern w:val="0"/>
                <w:sz w:val="18"/>
                <w:szCs w:val="18"/>
                <w:lang w:val="pl-PL" w:eastAsia="en-US" w:bidi="ar-SA"/>
              </w:rPr>
              <w:t>100 000,00</w:t>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70"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90.</w:t>
            </w:r>
          </w:p>
        </w:tc>
        <w:tc>
          <w:tcPr>
            <w:tcW w:w="1276"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 xml:space="preserve">Stowarzyszenie WŁOF -Zintegrowane Inwestycje Terytorialne Miejskiego Obszaru </w:t>
            </w:r>
          </w:p>
          <w:p>
            <w:pPr>
              <w:pStyle w:val="Normal"/>
              <w:widowControl/>
              <w:spacing w:lineRule="auto" w:line="240" w:before="0" w:after="0"/>
              <w:jc w:val="center"/>
              <w:rPr>
                <w:sz w:val="18"/>
                <w:szCs w:val="18"/>
              </w:rPr>
            </w:pPr>
            <w:r>
              <w:rPr>
                <w:rFonts w:cs="Calibri" w:cstheme="minorHAnsi"/>
                <w:bCs/>
                <w:kern w:val="0"/>
                <w:sz w:val="18"/>
                <w:szCs w:val="18"/>
                <w:lang w:val="pl-PL" w:eastAsia="en-US" w:bidi="ar-SA"/>
              </w:rPr>
              <w:t>Funkcjonalnego Włocławka</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kern w:val="0"/>
                <w:sz w:val="18"/>
                <w:szCs w:val="18"/>
                <w:lang w:val="pl-PL" w:eastAsia="en-US" w:bidi="ar-SA"/>
              </w:rPr>
              <w:t>Wsparcie potencjału administracyjnego Biura Stowarzyszenia WŁOF – Zintegrowane Inwestycje Terytorialne Miejskiego Obszaru Funkcjonalnego Włocławka - etap I</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kern w:val="0"/>
                <w:sz w:val="18"/>
                <w:szCs w:val="18"/>
                <w:lang w:val="pl-PL" w:eastAsia="en-US" w:bidi="ar-SA"/>
              </w:rPr>
              <w:t>144 615,79</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 xml:space="preserve">Wkład UE: </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122 923,43</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kern w:val="0"/>
                <w:sz w:val="18"/>
                <w:szCs w:val="18"/>
                <w:lang w:val="pl-PL" w:eastAsia="en-US" w:bidi="ar-SA"/>
              </w:rPr>
              <w:t>Środki własne: 21 692,36</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Cs/>
                <w:kern w:val="0"/>
                <w:sz w:val="18"/>
                <w:szCs w:val="18"/>
                <w:lang w:val="pl-PL" w:eastAsia="en-US" w:bidi="ar-SA"/>
              </w:rPr>
              <w:t>58 448,88</w:t>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kern w:val="0"/>
                <w:sz w:val="18"/>
                <w:szCs w:val="18"/>
                <w:lang w:val="pl-PL" w:eastAsia="en-US" w:bidi="ar-SA"/>
              </w:rPr>
              <w:t>48 205,25</w:t>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kern w:val="0"/>
                <w:sz w:val="18"/>
                <w:szCs w:val="18"/>
                <w:lang w:val="pl-PL" w:eastAsia="en-US" w:bidi="ar-SA"/>
              </w:rPr>
              <w:t>37 961,66</w:t>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
                <w:bCs/>
                <w:kern w:val="0"/>
                <w:sz w:val="18"/>
                <w:szCs w:val="18"/>
                <w:lang w:val="pl-PL" w:eastAsia="en-US" w:bidi="ar-SA"/>
              </w:rPr>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70" w:hRule="atLeast"/>
        </w:trPr>
        <w:tc>
          <w:tcPr>
            <w:tcW w:w="583" w:type="dxa"/>
            <w:gridSpan w:val="2"/>
            <w:tcBorders/>
          </w:tcPr>
          <w:p>
            <w:pPr>
              <w:pStyle w:val="Normal"/>
              <w:widowControl/>
              <w:spacing w:lineRule="auto" w:line="240" w:before="0" w:after="0"/>
              <w:jc w:val="center"/>
              <w:rPr>
                <w:rFonts w:cs="Calibri" w:cstheme="minorHAnsi"/>
                <w:sz w:val="18"/>
                <w:szCs w:val="18"/>
              </w:rPr>
            </w:pPr>
            <w:r>
              <w:rPr>
                <w:rFonts w:cs="Calibri" w:cstheme="minorHAnsi"/>
                <w:kern w:val="0"/>
                <w:sz w:val="18"/>
                <w:szCs w:val="18"/>
                <w:lang w:val="pl-PL" w:eastAsia="en-US" w:bidi="ar-SA"/>
              </w:rPr>
              <w:t>91.</w:t>
            </w:r>
          </w:p>
        </w:tc>
        <w:tc>
          <w:tcPr>
            <w:tcW w:w="1276"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 xml:space="preserve">Stowarzyszenie WŁOF -Zintegrowane Inwestycje Terytorialne Miejskiego Obszaru </w:t>
            </w:r>
          </w:p>
          <w:p>
            <w:pPr>
              <w:pStyle w:val="Normal"/>
              <w:widowControl/>
              <w:spacing w:lineRule="auto" w:line="240" w:before="0" w:after="0"/>
              <w:jc w:val="center"/>
              <w:rPr>
                <w:sz w:val="18"/>
                <w:szCs w:val="18"/>
              </w:rPr>
            </w:pPr>
            <w:r>
              <w:rPr>
                <w:rFonts w:cs="Calibri" w:cstheme="minorHAnsi"/>
                <w:bCs/>
                <w:kern w:val="0"/>
                <w:sz w:val="18"/>
                <w:szCs w:val="18"/>
                <w:lang w:val="pl-PL" w:eastAsia="en-US" w:bidi="ar-SA"/>
              </w:rPr>
              <w:t>Funkcjonalnego Włocławka</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kern w:val="0"/>
                <w:sz w:val="18"/>
                <w:szCs w:val="18"/>
                <w:lang w:val="pl-PL" w:eastAsia="en-US" w:bidi="ar-SA"/>
              </w:rPr>
              <w:t>Wsparcie potencjału administracyjnego Biura Stowarzyszenia WŁOF – Zintegrowane Inwestycje Terytorialne Miejskiego Obszaru Funkcjonalnego Włocławka - etap II</w:t>
            </w:r>
          </w:p>
        </w:tc>
        <w:tc>
          <w:tcPr>
            <w:tcW w:w="1559" w:type="dxa"/>
            <w:tcBorders/>
          </w:tcPr>
          <w:p>
            <w:pPr>
              <w:pStyle w:val="Normal"/>
              <w:widowControl/>
              <w:spacing w:lineRule="auto" w:line="240" w:before="0" w:after="0"/>
              <w:jc w:val="left"/>
              <w:rPr>
                <w:rFonts w:cs="Calibri" w:cstheme="minorHAnsi"/>
                <w:bCs/>
                <w:color w:val="000000" w:themeColor="text1"/>
                <w:sz w:val="18"/>
                <w:szCs w:val="18"/>
              </w:rPr>
            </w:pPr>
            <w:r>
              <w:rPr>
                <w:rFonts w:cs="Calibri" w:cstheme="minorHAnsi"/>
                <w:bCs/>
                <w:kern w:val="0"/>
                <w:sz w:val="18"/>
                <w:szCs w:val="18"/>
                <w:lang w:val="pl-PL" w:eastAsia="en-US" w:bidi="ar-SA"/>
              </w:rPr>
              <w:t>144 615,79</w:t>
            </w:r>
          </w:p>
        </w:tc>
        <w:tc>
          <w:tcPr>
            <w:tcW w:w="1842" w:type="dxa"/>
            <w:tcBorders/>
          </w:tcPr>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Wkład UE:</w:t>
            </w:r>
          </w:p>
          <w:p>
            <w:pPr>
              <w:pStyle w:val="Normal"/>
              <w:widowControl/>
              <w:spacing w:lineRule="auto" w:line="240" w:before="0" w:after="0"/>
              <w:jc w:val="center"/>
              <w:rPr>
                <w:rFonts w:cs="Calibri" w:cstheme="minorHAnsi"/>
                <w:bCs/>
                <w:sz w:val="18"/>
                <w:szCs w:val="18"/>
              </w:rPr>
            </w:pPr>
            <w:r>
              <w:rPr>
                <w:rFonts w:cs="Calibri" w:cstheme="minorHAnsi"/>
                <w:bCs/>
                <w:kern w:val="0"/>
                <w:sz w:val="18"/>
                <w:szCs w:val="18"/>
                <w:lang w:val="pl-PL" w:eastAsia="en-US" w:bidi="ar-SA"/>
              </w:rPr>
              <w:t>122 923,43</w:t>
            </w:r>
          </w:p>
          <w:p>
            <w:pPr>
              <w:pStyle w:val="Normal"/>
              <w:widowControl/>
              <w:spacing w:lineRule="auto" w:line="240" w:before="0" w:after="0"/>
              <w:jc w:val="center"/>
              <w:rPr>
                <w:rFonts w:cs="Calibri" w:cstheme="minorHAnsi"/>
                <w:bCs/>
                <w:color w:val="000000" w:themeColor="text1"/>
                <w:sz w:val="18"/>
                <w:szCs w:val="18"/>
              </w:rPr>
            </w:pPr>
            <w:r>
              <w:rPr>
                <w:rFonts w:cs="Calibri" w:cstheme="minorHAnsi"/>
                <w:bCs/>
                <w:kern w:val="0"/>
                <w:sz w:val="18"/>
                <w:szCs w:val="18"/>
                <w:lang w:val="pl-PL" w:eastAsia="en-US" w:bidi="ar-SA"/>
              </w:rPr>
              <w:t>Środki własne: 21 692,36</w:t>
            </w:r>
          </w:p>
        </w:tc>
        <w:tc>
          <w:tcPr>
            <w:tcW w:w="1134" w:type="dxa"/>
            <w:tcBorders/>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tc>
        <w:tc>
          <w:tcPr>
            <w:tcW w:w="1418" w:type="dxa"/>
            <w:gridSpan w:val="2"/>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418"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color w:val="000000" w:themeColor="text1"/>
                <w:kern w:val="0"/>
                <w:sz w:val="18"/>
                <w:szCs w:val="18"/>
                <w:lang w:val="pl-PL" w:eastAsia="en-US" w:bidi="ar-SA"/>
              </w:rPr>
            </w:r>
          </w:p>
        </w:tc>
        <w:tc>
          <w:tcPr>
            <w:tcW w:w="1559" w:type="dxa"/>
            <w:tcBorders/>
          </w:tcPr>
          <w:p>
            <w:pPr>
              <w:pStyle w:val="Normal"/>
              <w:widowControl/>
              <w:spacing w:lineRule="auto" w:line="240" w:before="0" w:after="0"/>
              <w:jc w:val="center"/>
              <w:rPr>
                <w:rFonts w:cs="Calibri" w:cstheme="minorHAnsi"/>
                <w:bCs/>
                <w:color w:val="000000" w:themeColor="text1"/>
                <w:sz w:val="18"/>
                <w:szCs w:val="18"/>
              </w:rPr>
            </w:pPr>
            <w:r>
              <w:rPr>
                <w:rFonts w:cs="Calibri" w:cstheme="minorHAnsi"/>
                <w:bCs/>
                <w:kern w:val="0"/>
                <w:sz w:val="18"/>
                <w:szCs w:val="18"/>
                <w:lang w:val="pl-PL" w:eastAsia="en-US" w:bidi="ar-SA"/>
              </w:rPr>
              <w:t>37 961,63</w:t>
            </w:r>
          </w:p>
        </w:tc>
        <w:tc>
          <w:tcPr>
            <w:tcW w:w="1417" w:type="dxa"/>
            <w:tcBorders/>
          </w:tcPr>
          <w:p>
            <w:pPr>
              <w:pStyle w:val="Normal"/>
              <w:widowControl/>
              <w:spacing w:lineRule="auto" w:line="240" w:before="0" w:after="0"/>
              <w:jc w:val="center"/>
              <w:rPr>
                <w:rFonts w:cs="Calibri" w:cstheme="minorHAnsi"/>
                <w:b/>
                <w:bCs/>
                <w:sz w:val="18"/>
                <w:szCs w:val="18"/>
              </w:rPr>
            </w:pPr>
            <w:r>
              <w:rPr>
                <w:rFonts w:cs="Calibri" w:cstheme="minorHAnsi"/>
                <w:bCs/>
                <w:kern w:val="0"/>
                <w:sz w:val="18"/>
                <w:szCs w:val="18"/>
                <w:lang w:val="pl-PL" w:eastAsia="en-US" w:bidi="ar-SA"/>
              </w:rPr>
              <w:t>58 448,88</w:t>
            </w:r>
          </w:p>
        </w:tc>
        <w:tc>
          <w:tcPr>
            <w:tcW w:w="1135" w:type="dxa"/>
            <w:tcBorders/>
          </w:tcPr>
          <w:p>
            <w:pPr>
              <w:pStyle w:val="Normal"/>
              <w:widowControl/>
              <w:spacing w:lineRule="auto" w:line="240" w:before="0" w:after="0"/>
              <w:jc w:val="center"/>
              <w:rPr>
                <w:rFonts w:cs="Calibri" w:cstheme="minorHAnsi"/>
                <w:b/>
                <w:bCs/>
                <w:sz w:val="18"/>
                <w:szCs w:val="18"/>
              </w:rPr>
            </w:pPr>
            <w:r>
              <w:rPr>
                <w:rFonts w:cs="Calibri" w:cstheme="minorHAnsi"/>
                <w:bCs/>
                <w:kern w:val="0"/>
                <w:sz w:val="18"/>
                <w:szCs w:val="18"/>
                <w:lang w:val="pl-PL" w:eastAsia="en-US" w:bidi="ar-SA"/>
              </w:rPr>
              <w:t>48 205,28</w:t>
            </w:r>
          </w:p>
        </w:tc>
        <w:tc>
          <w:tcPr>
            <w:tcW w:w="991" w:type="dxa"/>
            <w:tcBorders/>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70" w:hRule="atLeast"/>
        </w:trPr>
        <w:tc>
          <w:tcPr>
            <w:tcW w:w="3418" w:type="dxa"/>
            <w:gridSpan w:val="4"/>
            <w:tcBorders/>
            <w:shd w:color="auto" w:fill="8DB3E2" w:themeFill="text2" w:themeFillTint="66" w:val="clear"/>
          </w:tcPr>
          <w:p>
            <w:pPr>
              <w:pStyle w:val="Normal"/>
              <w:widowControl/>
              <w:spacing w:lineRule="auto" w:line="240" w:before="0" w:after="0"/>
              <w:jc w:val="center"/>
              <w:rPr>
                <w:b/>
                <w:bCs/>
                <w:sz w:val="20"/>
                <w:szCs w:val="20"/>
              </w:rPr>
            </w:pPr>
            <w:r>
              <w:rPr>
                <w:rFonts w:cs=""/>
                <w:b/>
                <w:bCs/>
                <w:kern w:val="0"/>
                <w:sz w:val="20"/>
                <w:szCs w:val="20"/>
                <w:lang w:val="pl-PL" w:eastAsia="en-US" w:bidi="ar-SA"/>
              </w:rPr>
            </w:r>
          </w:p>
          <w:p>
            <w:pPr>
              <w:pStyle w:val="Normal"/>
              <w:widowControl/>
              <w:spacing w:lineRule="auto" w:line="240" w:before="0" w:after="0"/>
              <w:jc w:val="center"/>
              <w:rPr>
                <w:rFonts w:cs="Calibri" w:cstheme="minorHAnsi"/>
                <w:b/>
                <w:bCs/>
                <w:color w:val="000000" w:themeColor="text1"/>
                <w:sz w:val="20"/>
                <w:szCs w:val="20"/>
              </w:rPr>
            </w:pPr>
            <w:r>
              <w:rPr>
                <w:rFonts w:cs=""/>
                <w:b/>
                <w:bCs/>
                <w:kern w:val="0"/>
                <w:sz w:val="20"/>
                <w:szCs w:val="20"/>
                <w:lang w:val="pl-PL" w:eastAsia="en-US" w:bidi="ar-SA"/>
              </w:rPr>
              <w:t>Suma CP5</w:t>
            </w:r>
          </w:p>
        </w:tc>
        <w:tc>
          <w:tcPr>
            <w:tcW w:w="1559"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10 085 745,94</w:t>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tc>
        <w:tc>
          <w:tcPr>
            <w:tcW w:w="1842"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Wkład UE:  6 991 853,76</w:t>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Środki własne:</w:t>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3 093 892,18</w:t>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tc>
        <w:tc>
          <w:tcPr>
            <w:tcW w:w="1134"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1 818 064,24</w:t>
            </w:r>
          </w:p>
        </w:tc>
        <w:tc>
          <w:tcPr>
            <w:tcW w:w="1418" w:type="dxa"/>
            <w:gridSpan w:val="2"/>
            <w:tcBorders/>
            <w:shd w:color="auto" w:fill="8DB3E2" w:themeFill="text2" w:themeFillTint="66" w:val="clear"/>
          </w:tcPr>
          <w:p>
            <w:pPr>
              <w:pStyle w:val="Normal"/>
              <w:widowControl/>
              <w:spacing w:lineRule="auto" w:line="240" w:before="0" w:after="0"/>
              <w:jc w:val="center"/>
              <w:rPr>
                <w:rFonts w:cs="Calibri" w:cstheme="minorHAnsi"/>
                <w:b/>
                <w:sz w:val="20"/>
                <w:szCs w:val="20"/>
              </w:rPr>
            </w:pPr>
            <w:r>
              <w:rPr>
                <w:rFonts w:cs="Calibri" w:cstheme="minorHAnsi"/>
                <w:b/>
                <w:kern w:val="0"/>
                <w:sz w:val="20"/>
                <w:szCs w:val="20"/>
                <w:lang w:val="pl-PL" w:eastAsia="en-US" w:bidi="ar-SA"/>
              </w:rPr>
            </w:r>
          </w:p>
          <w:p>
            <w:pPr>
              <w:pStyle w:val="Normal"/>
              <w:widowControl/>
              <w:spacing w:lineRule="auto" w:line="240" w:before="0" w:after="0"/>
              <w:jc w:val="center"/>
              <w:rPr>
                <w:rFonts w:cs="Calibri" w:cstheme="minorHAnsi"/>
                <w:b/>
                <w:sz w:val="20"/>
                <w:szCs w:val="20"/>
              </w:rPr>
            </w:pPr>
            <w:r>
              <w:rPr>
                <w:rFonts w:cs="Calibri" w:cstheme="minorHAnsi"/>
                <w:b/>
                <w:kern w:val="0"/>
                <w:sz w:val="20"/>
                <w:szCs w:val="20"/>
                <w:lang w:val="pl-PL" w:eastAsia="en-US" w:bidi="ar-SA"/>
              </w:rPr>
              <w:t>5 295 031,75</w:t>
            </w:r>
          </w:p>
        </w:tc>
        <w:tc>
          <w:tcPr>
            <w:tcW w:w="1418" w:type="dxa"/>
            <w:tcBorders/>
            <w:shd w:color="auto" w:fill="8DB3E2" w:themeFill="text2" w:themeFillTint="66" w:val="clear"/>
          </w:tcPr>
          <w:p>
            <w:pPr>
              <w:pStyle w:val="Normal"/>
              <w:widowControl/>
              <w:spacing w:lineRule="auto" w:line="240" w:before="0" w:after="0"/>
              <w:jc w:val="center"/>
              <w:rPr>
                <w:rFonts w:cs="Calibri" w:cstheme="minorHAnsi"/>
                <w:b/>
                <w:sz w:val="20"/>
                <w:szCs w:val="20"/>
              </w:rPr>
            </w:pPr>
            <w:r>
              <w:rPr>
                <w:rFonts w:cs="Calibri" w:cstheme="minorHAnsi"/>
                <w:b/>
                <w:kern w:val="0"/>
                <w:sz w:val="20"/>
                <w:szCs w:val="20"/>
                <w:lang w:val="pl-PL" w:eastAsia="en-US" w:bidi="ar-SA"/>
              </w:rPr>
            </w:r>
          </w:p>
          <w:p>
            <w:pPr>
              <w:pStyle w:val="Normal"/>
              <w:widowControl/>
              <w:spacing w:lineRule="auto" w:line="240" w:before="0" w:after="0"/>
              <w:jc w:val="center"/>
              <w:rPr>
                <w:rFonts w:cs="Calibri" w:cstheme="minorHAnsi"/>
                <w:b/>
                <w:sz w:val="20"/>
                <w:szCs w:val="20"/>
              </w:rPr>
            </w:pPr>
            <w:r>
              <w:rPr>
                <w:rFonts w:cs="Calibri" w:cstheme="minorHAnsi"/>
                <w:b/>
                <w:kern w:val="0"/>
                <w:sz w:val="20"/>
                <w:szCs w:val="20"/>
                <w:lang w:val="pl-PL" w:eastAsia="en-US" w:bidi="ar-SA"/>
              </w:rPr>
              <w:t>1 880 119,08</w:t>
            </w:r>
          </w:p>
        </w:tc>
        <w:tc>
          <w:tcPr>
            <w:tcW w:w="1559" w:type="dxa"/>
            <w:tcBorders/>
            <w:shd w:color="auto" w:fill="8DB3E2" w:themeFill="text2" w:themeFillTint="66" w:val="clear"/>
          </w:tcPr>
          <w:p>
            <w:pPr>
              <w:pStyle w:val="Normal"/>
              <w:widowControl/>
              <w:spacing w:lineRule="auto" w:line="240" w:before="0" w:after="0"/>
              <w:jc w:val="center"/>
              <w:rPr>
                <w:rFonts w:cs="Calibri" w:cstheme="minorHAnsi"/>
                <w:b/>
                <w:sz w:val="20"/>
                <w:szCs w:val="20"/>
              </w:rPr>
            </w:pPr>
            <w:r>
              <w:rPr>
                <w:rFonts w:cs="Calibri" w:cstheme="minorHAnsi"/>
                <w:b/>
                <w:kern w:val="0"/>
                <w:sz w:val="20"/>
                <w:szCs w:val="20"/>
                <w:lang w:val="pl-PL" w:eastAsia="en-US" w:bidi="ar-SA"/>
              </w:rPr>
            </w:r>
          </w:p>
          <w:p>
            <w:pPr>
              <w:pStyle w:val="Normal"/>
              <w:widowControl/>
              <w:spacing w:lineRule="auto" w:line="240" w:before="0" w:after="0"/>
              <w:jc w:val="center"/>
              <w:rPr>
                <w:rFonts w:cs="Calibri" w:cstheme="minorHAnsi"/>
                <w:b/>
                <w:sz w:val="20"/>
                <w:szCs w:val="20"/>
              </w:rPr>
            </w:pPr>
            <w:r>
              <w:rPr>
                <w:rFonts w:cs="Calibri" w:cstheme="minorHAnsi"/>
                <w:b/>
                <w:kern w:val="0"/>
                <w:sz w:val="20"/>
                <w:szCs w:val="20"/>
                <w:lang w:val="pl-PL" w:eastAsia="en-US" w:bidi="ar-SA"/>
              </w:rPr>
              <w:t>868 441,19</w:t>
            </w:r>
          </w:p>
        </w:tc>
        <w:tc>
          <w:tcPr>
            <w:tcW w:w="1417"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98 448,88</w:t>
            </w:r>
          </w:p>
        </w:tc>
        <w:tc>
          <w:tcPr>
            <w:tcW w:w="1135" w:type="dxa"/>
            <w:tcBorders/>
            <w:shd w:color="auto" w:fill="8DB3E2" w:themeFill="text2" w:themeFillTint="66" w:val="clear"/>
          </w:tcPr>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r>
          </w:p>
          <w:p>
            <w:pPr>
              <w:pStyle w:val="Normal"/>
              <w:widowControl/>
              <w:spacing w:lineRule="auto" w:line="240" w:before="0" w:after="0"/>
              <w:jc w:val="center"/>
              <w:rPr>
                <w:rFonts w:cs="Calibri" w:cstheme="minorHAnsi"/>
                <w:b/>
                <w:bCs/>
                <w:sz w:val="20"/>
                <w:szCs w:val="20"/>
              </w:rPr>
            </w:pPr>
            <w:r>
              <w:rPr>
                <w:rFonts w:cs="Calibri" w:cstheme="minorHAnsi"/>
                <w:b/>
                <w:bCs/>
                <w:kern w:val="0"/>
                <w:sz w:val="20"/>
                <w:szCs w:val="20"/>
                <w:lang w:val="pl-PL" w:eastAsia="en-US" w:bidi="ar-SA"/>
              </w:rPr>
              <w:t>125 640,80</w:t>
            </w:r>
          </w:p>
        </w:tc>
        <w:tc>
          <w:tcPr>
            <w:tcW w:w="991" w:type="dxa"/>
            <w:tcBorders/>
            <w:shd w:color="auto" w:fill="8DB3E2" w:themeFill="text2" w:themeFillTint="66" w:val="clear"/>
          </w:tcPr>
          <w:p>
            <w:pPr>
              <w:pStyle w:val="Normal"/>
              <w:widowControl/>
              <w:spacing w:lineRule="auto" w:line="240" w:before="0" w:after="0"/>
              <w:jc w:val="left"/>
              <w:rPr>
                <w:rFonts w:cs="Calibri" w:cstheme="minorHAnsi"/>
                <w:b/>
                <w:bCs/>
                <w:sz w:val="20"/>
                <w:szCs w:val="20"/>
              </w:rPr>
            </w:pPr>
            <w:r>
              <w:rPr>
                <w:rFonts w:cs="Calibri" w:cstheme="minorHAnsi"/>
                <w:b/>
                <w:bCs/>
                <w:kern w:val="0"/>
                <w:sz w:val="20"/>
                <w:szCs w:val="20"/>
                <w:lang w:val="pl-PL" w:eastAsia="en-US" w:bidi="ar-SA"/>
              </w:rPr>
            </w:r>
          </w:p>
        </w:tc>
      </w:tr>
      <w:tr>
        <w:trPr>
          <w:trHeight w:val="70" w:hRule="atLeast"/>
        </w:trPr>
        <w:tc>
          <w:tcPr>
            <w:tcW w:w="3418" w:type="dxa"/>
            <w:gridSpan w:val="4"/>
            <w:tcBorders/>
            <w:shd w:color="auto" w:fill="B8CCE4" w:themeFill="accent1" w:themeFillTint="66" w:val="clear"/>
          </w:tcPr>
          <w:p>
            <w:pPr>
              <w:pStyle w:val="Normal"/>
              <w:widowControl/>
              <w:spacing w:lineRule="auto" w:line="240" w:before="0" w:after="0"/>
              <w:jc w:val="center"/>
              <w:rPr>
                <w:b/>
                <w:bCs/>
              </w:rPr>
            </w:pPr>
            <w:r>
              <w:rPr>
                <w:rFonts w:cs=""/>
                <w:b/>
                <w:bCs/>
                <w:kern w:val="0"/>
                <w:sz w:val="22"/>
                <w:szCs w:val="22"/>
                <w:lang w:val="pl-PL" w:eastAsia="en-US" w:bidi="ar-SA"/>
              </w:rPr>
            </w:r>
          </w:p>
          <w:p>
            <w:pPr>
              <w:pStyle w:val="Normal"/>
              <w:widowControl/>
              <w:spacing w:lineRule="auto" w:line="240" w:before="0" w:after="0"/>
              <w:jc w:val="center"/>
              <w:rPr>
                <w:b/>
                <w:bCs/>
              </w:rPr>
            </w:pPr>
            <w:r>
              <w:rPr>
                <w:rFonts w:cs=""/>
                <w:b/>
                <w:bCs/>
                <w:kern w:val="0"/>
                <w:sz w:val="22"/>
                <w:szCs w:val="22"/>
                <w:lang w:val="pl-PL" w:eastAsia="en-US" w:bidi="ar-SA"/>
              </w:rPr>
              <w:t>Suma CP1, CP2, CP4, CP5</w:t>
            </w:r>
          </w:p>
          <w:p>
            <w:pPr>
              <w:pStyle w:val="Normal"/>
              <w:widowControl/>
              <w:spacing w:lineRule="auto" w:line="240" w:before="0" w:after="0"/>
              <w:jc w:val="center"/>
              <w:rPr>
                <w:b/>
                <w:bCs/>
              </w:rPr>
            </w:pPr>
            <w:r>
              <w:rPr>
                <w:rFonts w:cs=""/>
                <w:b/>
                <w:bCs/>
                <w:kern w:val="0"/>
                <w:sz w:val="22"/>
                <w:szCs w:val="22"/>
                <w:lang w:val="pl-PL" w:eastAsia="en-US" w:bidi="ar-SA"/>
              </w:rPr>
            </w:r>
          </w:p>
        </w:tc>
        <w:tc>
          <w:tcPr>
            <w:tcW w:w="1559" w:type="dxa"/>
            <w:tcBorders/>
            <w:shd w:color="auto" w:fill="B8CCE4" w:themeFill="accent1" w:themeFillTint="66" w:val="clear"/>
          </w:tcPr>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58 555 143,50</w:t>
            </w:r>
          </w:p>
        </w:tc>
        <w:tc>
          <w:tcPr>
            <w:tcW w:w="1842" w:type="dxa"/>
            <w:tcBorders/>
            <w:shd w:color="auto" w:fill="B8CCE4" w:themeFill="accent1" w:themeFillTint="66" w:val="clear"/>
          </w:tcPr>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Wkład UE:</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42 548 979,76</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Środki własne:</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16 006 163,73</w:t>
            </w:r>
          </w:p>
        </w:tc>
        <w:tc>
          <w:tcPr>
            <w:tcW w:w="9072" w:type="dxa"/>
            <w:gridSpan w:val="8"/>
            <w:tcBorders/>
            <w:shd w:color="auto" w:fill="B8CCE4" w:themeFill="accent1" w:themeFillTint="66" w:val="clear"/>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1034" w:hRule="atLeast"/>
        </w:trPr>
        <w:tc>
          <w:tcPr>
            <w:tcW w:w="3418" w:type="dxa"/>
            <w:gridSpan w:val="4"/>
            <w:tcBorders/>
            <w:shd w:color="auto" w:fill="B8CCE4" w:themeFill="accent1" w:themeFillTint="66" w:val="clear"/>
          </w:tcPr>
          <w:p>
            <w:pPr>
              <w:pStyle w:val="Normal"/>
              <w:widowControl/>
              <w:spacing w:lineRule="auto" w:line="240" w:before="0" w:after="0"/>
              <w:jc w:val="center"/>
              <w:rPr>
                <w:b/>
                <w:bCs/>
              </w:rPr>
            </w:pPr>
            <w:r>
              <w:rPr>
                <w:rFonts w:cs=""/>
                <w:b/>
                <w:bCs/>
                <w:kern w:val="0"/>
                <w:sz w:val="22"/>
                <w:szCs w:val="22"/>
                <w:lang w:val="pl-PL" w:eastAsia="en-US" w:bidi="ar-SA"/>
              </w:rPr>
            </w:r>
          </w:p>
          <w:p>
            <w:pPr>
              <w:pStyle w:val="Normal"/>
              <w:widowControl/>
              <w:spacing w:lineRule="auto" w:line="240" w:before="0" w:after="0"/>
              <w:jc w:val="center"/>
              <w:rPr>
                <w:b/>
                <w:bCs/>
              </w:rPr>
            </w:pPr>
            <w:r>
              <w:rPr>
                <w:rFonts w:cs=""/>
                <w:b/>
                <w:bCs/>
                <w:kern w:val="0"/>
                <w:sz w:val="22"/>
                <w:szCs w:val="22"/>
                <w:lang w:val="pl-PL" w:eastAsia="en-US" w:bidi="ar-SA"/>
              </w:rPr>
              <w:t>Suma EFRR</w:t>
            </w:r>
          </w:p>
          <w:p>
            <w:pPr>
              <w:pStyle w:val="Normal"/>
              <w:widowControl/>
              <w:spacing w:lineRule="auto" w:line="240" w:before="0" w:after="0"/>
              <w:jc w:val="center"/>
              <w:rPr>
                <w:b/>
                <w:bCs/>
              </w:rPr>
            </w:pPr>
            <w:r>
              <w:rPr>
                <w:rFonts w:cs=""/>
                <w:b/>
                <w:bCs/>
                <w:kern w:val="0"/>
                <w:sz w:val="22"/>
                <w:szCs w:val="22"/>
                <w:lang w:val="pl-PL" w:eastAsia="en-US" w:bidi="ar-SA"/>
              </w:rPr>
            </w:r>
          </w:p>
          <w:p>
            <w:pPr>
              <w:pStyle w:val="Normal"/>
              <w:widowControl/>
              <w:spacing w:lineRule="auto" w:line="240" w:before="0" w:after="0"/>
              <w:jc w:val="center"/>
              <w:rPr>
                <w:b/>
                <w:bCs/>
              </w:rPr>
            </w:pPr>
            <w:r>
              <w:rPr>
                <w:rFonts w:cs=""/>
                <w:b/>
                <w:bCs/>
                <w:kern w:val="0"/>
                <w:sz w:val="22"/>
                <w:szCs w:val="22"/>
                <w:lang w:val="pl-PL" w:eastAsia="en-US" w:bidi="ar-SA"/>
              </w:rPr>
            </w:r>
          </w:p>
        </w:tc>
        <w:tc>
          <w:tcPr>
            <w:tcW w:w="1559" w:type="dxa"/>
            <w:tcBorders/>
            <w:shd w:color="auto" w:fill="B8CCE4" w:themeFill="accent1" w:themeFillTint="66" w:val="clear"/>
          </w:tcPr>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50 587 416,05</w:t>
            </w:r>
          </w:p>
        </w:tc>
        <w:tc>
          <w:tcPr>
            <w:tcW w:w="1842" w:type="dxa"/>
            <w:tcBorders/>
            <w:shd w:color="auto" w:fill="B8CCE4" w:themeFill="accent1" w:themeFillTint="66" w:val="clear"/>
          </w:tcPr>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Wkład UE:</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 xml:space="preserve">35 865 359,80  </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Środki własne:</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14 722 056,24</w:t>
            </w:r>
          </w:p>
        </w:tc>
        <w:tc>
          <w:tcPr>
            <w:tcW w:w="9072" w:type="dxa"/>
            <w:gridSpan w:val="8"/>
            <w:tcBorders/>
            <w:shd w:color="auto" w:fill="B8CCE4" w:themeFill="accent1" w:themeFillTint="66" w:val="clear"/>
          </w:tcPr>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r>
        <w:trPr>
          <w:trHeight w:val="1087" w:hRule="atLeast"/>
        </w:trPr>
        <w:tc>
          <w:tcPr>
            <w:tcW w:w="3418" w:type="dxa"/>
            <w:gridSpan w:val="4"/>
            <w:tcBorders/>
            <w:shd w:color="auto" w:fill="B8CCE4" w:themeFill="accent1" w:themeFillTint="66" w:val="clear"/>
          </w:tcPr>
          <w:p>
            <w:pPr>
              <w:pStyle w:val="Normal"/>
              <w:widowControl/>
              <w:spacing w:lineRule="auto" w:line="240" w:before="0" w:after="0"/>
              <w:jc w:val="center"/>
              <w:rPr>
                <w:b/>
                <w:bCs/>
              </w:rPr>
            </w:pPr>
            <w:r>
              <w:rPr>
                <w:rFonts w:cs=""/>
                <w:b/>
                <w:bCs/>
                <w:kern w:val="0"/>
                <w:sz w:val="22"/>
                <w:szCs w:val="22"/>
                <w:lang w:val="pl-PL" w:eastAsia="en-US" w:bidi="ar-SA"/>
              </w:rPr>
            </w:r>
          </w:p>
          <w:p>
            <w:pPr>
              <w:pStyle w:val="Normal"/>
              <w:widowControl/>
              <w:spacing w:lineRule="auto" w:line="240" w:before="0" w:after="0"/>
              <w:jc w:val="center"/>
              <w:rPr>
                <w:b/>
                <w:bCs/>
              </w:rPr>
            </w:pPr>
            <w:r>
              <w:rPr>
                <w:rFonts w:cs=""/>
                <w:b/>
                <w:bCs/>
                <w:kern w:val="0"/>
                <w:sz w:val="22"/>
                <w:szCs w:val="22"/>
                <w:lang w:val="pl-PL" w:eastAsia="en-US" w:bidi="ar-SA"/>
              </w:rPr>
              <w:t>Suma EFS</w:t>
            </w:r>
          </w:p>
          <w:p>
            <w:pPr>
              <w:pStyle w:val="Normal"/>
              <w:widowControl/>
              <w:spacing w:lineRule="auto" w:line="240" w:before="0" w:after="0"/>
              <w:jc w:val="center"/>
              <w:rPr>
                <w:b/>
                <w:bCs/>
              </w:rPr>
            </w:pPr>
            <w:r>
              <w:rPr>
                <w:rFonts w:cs=""/>
                <w:b/>
                <w:bCs/>
                <w:kern w:val="0"/>
                <w:sz w:val="22"/>
                <w:szCs w:val="22"/>
                <w:lang w:val="pl-PL" w:eastAsia="en-US" w:bidi="ar-SA"/>
              </w:rPr>
            </w:r>
          </w:p>
          <w:p>
            <w:pPr>
              <w:pStyle w:val="Normal"/>
              <w:widowControl/>
              <w:spacing w:lineRule="auto" w:line="240" w:before="0" w:after="0"/>
              <w:jc w:val="center"/>
              <w:rPr>
                <w:b/>
                <w:bCs/>
              </w:rPr>
            </w:pPr>
            <w:r>
              <w:rPr>
                <w:rFonts w:cs=""/>
                <w:b/>
                <w:bCs/>
                <w:kern w:val="0"/>
                <w:sz w:val="22"/>
                <w:szCs w:val="22"/>
                <w:lang w:val="pl-PL" w:eastAsia="en-US" w:bidi="ar-SA"/>
              </w:rPr>
            </w:r>
          </w:p>
        </w:tc>
        <w:tc>
          <w:tcPr>
            <w:tcW w:w="1559" w:type="dxa"/>
            <w:tcBorders/>
            <w:shd w:color="auto" w:fill="B8CCE4" w:themeFill="accent1" w:themeFillTint="66" w:val="clear"/>
          </w:tcPr>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7 967 727,45</w:t>
            </w:r>
          </w:p>
        </w:tc>
        <w:tc>
          <w:tcPr>
            <w:tcW w:w="1842" w:type="dxa"/>
            <w:tcBorders/>
            <w:shd w:color="auto" w:fill="B8CCE4" w:themeFill="accent1" w:themeFillTint="66" w:val="clear"/>
          </w:tcPr>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Wkład UE:  6 683 619,96</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Środki własne:</w:t>
            </w:r>
          </w:p>
          <w:p>
            <w:pPr>
              <w:pStyle w:val="Normal"/>
              <w:widowControl/>
              <w:spacing w:lineRule="auto" w:line="240"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1 284 107,49</w:t>
            </w:r>
          </w:p>
        </w:tc>
        <w:tc>
          <w:tcPr>
            <w:tcW w:w="9072" w:type="dxa"/>
            <w:gridSpan w:val="8"/>
            <w:tcBorders/>
            <w:shd w:color="auto" w:fill="B8CCE4" w:themeFill="accent1" w:themeFillTint="66" w:val="clear"/>
          </w:tcPr>
          <w:p>
            <w:pPr>
              <w:pStyle w:val="Normal"/>
              <w:widowControl/>
              <w:spacing w:lineRule="auto" w:line="240" w:before="0" w:after="0"/>
              <w:jc w:val="center"/>
              <w:rPr>
                <w:rFonts w:cs="Calibri" w:cstheme="minorHAnsi"/>
                <w:b/>
                <w:bCs/>
                <w:color w:val="000000" w:themeColor="text1"/>
                <w:sz w:val="18"/>
                <w:szCs w:val="18"/>
              </w:rPr>
            </w:pPr>
            <w:r>
              <w:rPr>
                <w:rFonts w:cs="Calibri" w:cstheme="minorHAnsi"/>
                <w:b/>
                <w:bCs/>
                <w:color w:val="000000" w:themeColor="text1"/>
                <w:kern w:val="0"/>
                <w:sz w:val="18"/>
                <w:szCs w:val="18"/>
                <w:lang w:val="pl-PL" w:eastAsia="en-US" w:bidi="ar-SA"/>
              </w:rPr>
            </w:r>
          </w:p>
          <w:p>
            <w:pPr>
              <w:pStyle w:val="Normal"/>
              <w:widowControl/>
              <w:spacing w:lineRule="auto" w:line="240" w:before="0" w:after="0"/>
              <w:jc w:val="left"/>
              <w:rPr>
                <w:rFonts w:cs="Calibri" w:cstheme="minorHAnsi"/>
                <w:b/>
                <w:bCs/>
                <w:sz w:val="18"/>
                <w:szCs w:val="18"/>
              </w:rPr>
            </w:pPr>
            <w:r>
              <w:rPr>
                <w:rFonts w:cs="Calibri" w:cstheme="minorHAnsi"/>
                <w:b/>
                <w:bCs/>
                <w:kern w:val="0"/>
                <w:sz w:val="18"/>
                <w:szCs w:val="18"/>
                <w:lang w:val="pl-PL" w:eastAsia="en-US" w:bidi="ar-SA"/>
              </w:rPr>
            </w:r>
          </w:p>
        </w:tc>
      </w:tr>
    </w:tbl>
    <w:p>
      <w:pPr>
        <w:pStyle w:val="Normal"/>
        <w:spacing w:lineRule="auto" w:line="240"/>
        <w:rPr>
          <w:rFonts w:cs="Calibri" w:cstheme="minorHAnsi"/>
          <w:b/>
          <w:sz w:val="18"/>
          <w:szCs w:val="18"/>
        </w:rPr>
      </w:pPr>
      <w:r>
        <w:rPr>
          <w:rFonts w:cs="Calibri" w:cstheme="minorHAnsi"/>
          <w:b/>
          <w:sz w:val="18"/>
          <w:szCs w:val="18"/>
        </w:rPr>
      </w:r>
    </w:p>
    <w:p>
      <w:pPr>
        <w:sectPr>
          <w:headerReference w:type="default" r:id="rId57"/>
          <w:headerReference w:type="first" r:id="rId58"/>
          <w:footerReference w:type="default" r:id="rId59"/>
          <w:footerReference w:type="first" r:id="rId60"/>
          <w:footnotePr>
            <w:numFmt w:val="decimal"/>
          </w:footnotePr>
          <w:type w:val="nextPage"/>
          <w:pgSz w:orient="landscape" w:w="16838" w:h="11906"/>
          <w:pgMar w:left="1134" w:right="1559" w:gutter="0" w:header="284" w:top="1418" w:footer="227" w:bottom="1418"/>
          <w:pgNumType w:fmt="decimal"/>
          <w:formProt w:val="false"/>
          <w:textDirection w:val="lrTb"/>
          <w:docGrid w:type="default" w:linePitch="360" w:charSpace="4096"/>
        </w:sectPr>
        <w:pStyle w:val="Normal"/>
        <w:rPr>
          <w:rFonts w:cs="Calibri" w:cstheme="minorHAnsi"/>
          <w:b/>
          <w:bCs/>
          <w:sz w:val="18"/>
          <w:szCs w:val="18"/>
        </w:rPr>
      </w:pPr>
      <w:r>
        <w:rPr>
          <w:rFonts w:cs="Calibri" w:cstheme="minorHAnsi"/>
          <w:b/>
          <w:bCs/>
          <w:sz w:val="18"/>
          <w:szCs w:val="18"/>
        </w:rPr>
      </w:r>
    </w:p>
    <w:p>
      <w:pPr>
        <w:pStyle w:val="Normal"/>
        <w:rPr/>
      </w:pPr>
      <w:r>
        <w:rPr/>
      </w:r>
    </w:p>
    <w:p>
      <w:pPr>
        <w:pStyle w:val="Nagwek1"/>
        <w:numPr>
          <w:ilvl w:val="0"/>
          <w:numId w:val="59"/>
        </w:numPr>
        <w:rPr/>
      </w:pPr>
      <w:bookmarkStart w:id="224" w:name="_Toc143161936"/>
      <w:bookmarkStart w:id="225" w:name="_Hlk134172284"/>
      <w:r>
        <w:rPr/>
        <w:t>Warunki i procedury obowiązujące w realizacji Strategii ZIT</w:t>
      </w:r>
      <w:bookmarkEnd w:id="224"/>
      <w:bookmarkEnd w:id="225"/>
    </w:p>
    <w:p>
      <w:pPr>
        <w:pStyle w:val="Normal"/>
        <w:spacing w:lineRule="auto" w:line="276"/>
        <w:jc w:val="both"/>
        <w:rPr/>
      </w:pPr>
      <w:r>
        <w:rPr/>
        <w:t xml:space="preserve">Zintegrowane Inwestycje Terytorialne w odniesieniu do Miejskiego Obszaru Funkcjonalnego Włocławka wdrażane będą w formule partnerstwa. </w:t>
      </w:r>
    </w:p>
    <w:p>
      <w:pPr>
        <w:pStyle w:val="Normal"/>
        <w:spacing w:lineRule="auto" w:line="276"/>
        <w:jc w:val="both"/>
        <w:rPr/>
      </w:pPr>
      <w:r>
        <w:rPr/>
        <w:t xml:space="preserve">Usankcjonowaniem współpracy samorządów MOF Włocławka na potrzeby realizacji </w:t>
        <w:br/>
        <w:t xml:space="preserve">ZIT w perspektywie finansowej 2021 – 20274 było utworzenie Stowarzyszenia WŁOF – Zintegrowane Inwestycje Terytorialne Miejskiego Obszaru Funkcjonalnego Włocławka. Partnerstwo zostało powołane zgodnie z zapisami Ustawy z dnia 28 kwietnia 2022r. o zasadach realizacji zadań finansowanych ze środków europejskich w perspektywie finansowej 2021-2027 art. 34 ust. 5 oraz art. 36 ust. 4 oraz na podstawie przepisów ustawy z dnia 8 marca 1990 r. o samorządzie gminnym, ustawy z dnia 5 czerwca 1998 r. o samorządzie powiatowym, ustawy z dnia 7 kwietnia 1989 r. Prawo </w:t>
        <w:br/>
        <w:t xml:space="preserve">o stowarzyszeniach. </w:t>
      </w:r>
    </w:p>
    <w:p>
      <w:pPr>
        <w:pStyle w:val="Normal"/>
        <w:spacing w:lineRule="auto" w:line="276"/>
        <w:jc w:val="both"/>
        <w:rPr/>
      </w:pPr>
      <w:r>
        <w:rPr/>
        <w:t>Za realizację Strategii Terytorialnej Miejskiego Obszaru Funkcjonalnego Włocławka odpowiedzialne jest Stowarzyszenie WŁOF – Zintegrowane Inwestycje Terytorialne Miejskiego Obszaru Funkcjonalnego Włocławka. Stowarzyszenie WŁOF pełni funkcję Związku ZIT i stanowi wspólną reprezentację jednostek samorządu terytorialnego wdrażających Zintegrowane Inwestycje Terytorialne. Organami Stowarzyszenia są: Walne Zebranie Członków, Zarząd Stowarzyszenia oraz Komisja Rewizyjna.</w:t>
      </w:r>
    </w:p>
    <w:p>
      <w:pPr>
        <w:pStyle w:val="Normal"/>
        <w:spacing w:lineRule="auto" w:line="276"/>
        <w:jc w:val="both"/>
        <w:rPr>
          <w:rFonts w:cs="Calibri" w:cstheme="minorHAnsi"/>
        </w:rPr>
      </w:pPr>
      <w:r>
        <w:rPr>
          <w:rFonts w:cs="Calibri" w:cstheme="minorHAnsi"/>
        </w:rPr>
        <w:t xml:space="preserve">Walne Zebranie Członków to organ stanowiący Stowarzyszenia. W jej skład wchodzą przedstawiciele wszystkich jednostek samorządu terytorialnego będących Członkami Stowarzyszenia. </w:t>
      </w:r>
    </w:p>
    <w:p>
      <w:pPr>
        <w:pStyle w:val="Normal"/>
        <w:spacing w:lineRule="auto" w:line="276"/>
        <w:jc w:val="both"/>
        <w:rPr>
          <w:rFonts w:cs="Calibri" w:cstheme="minorHAnsi"/>
        </w:rPr>
      </w:pPr>
      <w:r>
        <w:rPr>
          <w:rFonts w:cs="Calibri" w:cstheme="minorHAnsi"/>
        </w:rPr>
        <w:t>Do zadań Walnego Zebrania Członków należy: zatwierdzanie Strategii Terytorialnej i jej aktualizacji, zatwierdzanie listy projektów i jej aktualizacja, przedkładanie zaktualizowanej Strategii</w:t>
        <w:br/>
        <w:t xml:space="preserve"> do zaopiniowania przez Instytucję Zarządzającą Programem Regionalnym Fundusze Europejskie </w:t>
        <w:br/>
        <w:t xml:space="preserve">dla Kujaw i Pomorza 2021-2027, zatwierdzanie raz w roku raportów z realizacji ustaleń Strategii Terytorialnej dla Miejskiego Obszaru Funkcjonalnego Włocławka i przekazywanie ich do Instytucji Zarządzającej Programem Regionalnym Fundusze Europejskie dla Kujaw i Pomorza 2021-2027 </w:t>
      </w:r>
    </w:p>
    <w:p>
      <w:pPr>
        <w:pStyle w:val="Normal"/>
        <w:spacing w:lineRule="auto" w:line="276"/>
        <w:jc w:val="both"/>
        <w:rPr>
          <w:rFonts w:cs="Calibri" w:cstheme="minorHAnsi"/>
          <w:color w:val="000000" w:themeColor="text1"/>
        </w:rPr>
      </w:pPr>
      <w:r>
        <w:rPr>
          <w:rFonts w:cs="Calibri" w:cstheme="minorHAnsi"/>
        </w:rPr>
        <w:t xml:space="preserve">Organem wykonawczym Stowarzyszenia jest jego Zarząd, reprezentujący Stowarzyszenie na zewnątrz. Składa się z 4 członków, w tym </w:t>
      </w:r>
      <w:r>
        <w:rPr>
          <w:rFonts w:cs="Calibri" w:cstheme="minorHAnsi"/>
          <w:color w:val="000000" w:themeColor="text1"/>
        </w:rPr>
        <w:t xml:space="preserve">w tym Prezesa i Wiceprezesa. </w:t>
      </w:r>
    </w:p>
    <w:p>
      <w:pPr>
        <w:pStyle w:val="Normal"/>
        <w:spacing w:lineRule="auto" w:line="276"/>
        <w:jc w:val="both"/>
        <w:rPr>
          <w:rFonts w:cs="Calibri" w:cstheme="minorHAnsi"/>
          <w:color w:val="000000" w:themeColor="text1"/>
        </w:rPr>
      </w:pPr>
      <w:r>
        <w:rPr>
          <w:rFonts w:cs="Calibri" w:cstheme="minorHAnsi"/>
          <w:color w:val="000000" w:themeColor="text1"/>
        </w:rPr>
        <w:t xml:space="preserve">Do zadań Zarządu Stowarzyszenia należy: </w:t>
      </w:r>
      <w:r>
        <w:rPr>
          <w:rFonts w:cs="Calibri" w:cstheme="minorHAnsi"/>
        </w:rPr>
        <w:t xml:space="preserve">powołanie Zespołu Zadaniowego ds. realizacji Strategii, </w:t>
      </w:r>
      <w:r>
        <w:rPr>
          <w:rFonts w:cs="Calibri" w:cstheme="minorHAnsi"/>
          <w:color w:val="000000" w:themeColor="text1"/>
        </w:rPr>
        <w:t>przygotowanie Strategii Terytorialnej i jej aktualizacji, przygotowanie</w:t>
      </w:r>
      <w:r>
        <w:rPr>
          <w:rFonts w:cs="Calibri" w:cstheme="minorHAnsi"/>
        </w:rPr>
        <w:t xml:space="preserve"> aktualizacji listy projektów, przygotowanie raz w roku raportów monitoringowych z realizacji ustaleń Strategii Terytorialnej </w:t>
        <w:br/>
        <w:t xml:space="preserve">dla Miejskiego Obszaru Funkcjonalnego Włocławka, nadzór nad realizacją Strategii. </w:t>
      </w:r>
      <w:bookmarkStart w:id="226" w:name="_Hlk136430415"/>
      <w:bookmarkEnd w:id="226"/>
    </w:p>
    <w:p>
      <w:pPr>
        <w:pStyle w:val="Normal"/>
        <w:spacing w:lineRule="auto" w:line="276"/>
        <w:jc w:val="both"/>
        <w:rPr>
          <w:rFonts w:cs="Calibri" w:cstheme="minorHAnsi"/>
        </w:rPr>
      </w:pPr>
      <w:r>
        <w:rPr>
          <w:rFonts w:cs="Calibri" w:cstheme="minorHAnsi"/>
        </w:rPr>
        <w:t>Organy Stowarzyszenia wykonują swoje zadania za pomocą Biura Stowarzyszenia, które wspiera realizację celów Stowarzyszenia.</w:t>
      </w:r>
    </w:p>
    <w:p>
      <w:pPr>
        <w:pStyle w:val="Normal"/>
        <w:spacing w:lineRule="auto" w:line="276" w:before="0" w:after="0"/>
        <w:jc w:val="both"/>
        <w:rPr>
          <w:rFonts w:cs="Calibri" w:cstheme="minorHAnsi"/>
        </w:rPr>
      </w:pPr>
      <w:r>
        <w:rPr>
          <w:rFonts w:cs="Calibri" w:cstheme="minorHAnsi"/>
        </w:rPr>
        <w:t xml:space="preserve">Do zadań Biura Stowarzyszenia należy: koordynowanie wdrażania i monitorowanie realizowanych działań Strategii Terytorialnej, bieżąca współpraca z Instytucją Zarządzającą w zakresie spraw związanych z realizacją ustaleń Strategii dla Partnerstwa, opracowanie procedur aktualizacji Strategii Terytorialnej, bieżąca współpraca z koordynatorami jednostek samorządu terytorialnego w zakresie realizacji Strategii Terytorialnej, celem przekazywania informacji na temat postępów realizacji ustaleń Strategii oraz zbierania opinii i sugestii na rzecz jego usprawnienia, przygotowanie corocznego raportu z realizacji Strategii Terytorialnej, organizacja procesu konsultacji społecznych projektu Strategii Terytorialnej. </w:t>
      </w:r>
    </w:p>
    <w:p>
      <w:pPr>
        <w:pStyle w:val="Normal"/>
        <w:spacing w:lineRule="auto" w:line="240" w:before="0" w:after="0"/>
        <w:jc w:val="both"/>
        <w:rPr>
          <w:rFonts w:cs="Calibri" w:cstheme="minorHAnsi"/>
        </w:rPr>
      </w:pPr>
      <w:r>
        <w:rPr>
          <w:rFonts w:cs="Calibri" w:cstheme="minorHAnsi"/>
        </w:rPr>
      </w:r>
    </w:p>
    <w:p>
      <w:pPr>
        <w:pStyle w:val="Normal"/>
        <w:spacing w:lineRule="auto" w:line="276" w:before="0" w:after="0"/>
        <w:jc w:val="both"/>
        <w:rPr>
          <w:rFonts w:cs="Calibri" w:cstheme="minorHAnsi"/>
        </w:rPr>
      </w:pPr>
      <w:r>
        <w:rPr>
          <w:rFonts w:cs="Calibri" w:cstheme="minorHAnsi"/>
        </w:rPr>
        <w:t>Sprawność realizacji Strategii warunkowana jest pełną współpracą z samorządami MOF Włocławek.</w:t>
        <w:br/>
        <w:t xml:space="preserve"> Do zadań samorządów MOF Włocławka należy: bieżąca współpraca z pracownikami Biura Stowarzyszenia w zakresie realizacji Strategii,  realizacja projektów ujętych w Strategii Terytorialnej, bieżący monitoring realizowanych zadań, prowadzenie sprawozdawczości w zakresie zrealizowanych działań oraz osiągniętych wskaźników, przekazywanie raz w roku do Biura Stowarzyszenia WŁOF</w:t>
      </w:r>
      <w:r>
        <w:rPr>
          <w:rStyle w:val="Annotationreference"/>
        </w:rPr>
        <w:t xml:space="preserve"> </w:t>
      </w:r>
      <w:r>
        <w:rPr>
          <w:rStyle w:val="Annotationreference"/>
          <w:rFonts w:cs="Calibri" w:cstheme="minorHAnsi"/>
          <w:sz w:val="22"/>
          <w:szCs w:val="22"/>
        </w:rPr>
        <w:t>c</w:t>
      </w:r>
      <w:r>
        <w:rPr>
          <w:rFonts w:cs="Calibri" w:cstheme="minorHAnsi"/>
        </w:rPr>
        <w:t xml:space="preserve">orocznego zestawienia w zakresie realizacji zadań i osiągniętych wskaźników. </w:t>
      </w:r>
    </w:p>
    <w:p>
      <w:pPr>
        <w:pStyle w:val="Normal"/>
        <w:spacing w:lineRule="auto" w:line="240" w:before="0" w:after="0"/>
        <w:jc w:val="both"/>
        <w:rPr>
          <w:rFonts w:cs="Calibri" w:cstheme="minorHAnsi"/>
        </w:rPr>
      </w:pPr>
      <w:r>
        <w:rPr>
          <w:rFonts w:cs="Calibri" w:cstheme="minorHAnsi"/>
        </w:rPr>
      </w:r>
    </w:p>
    <w:p>
      <w:pPr>
        <w:pStyle w:val="Normal"/>
        <w:spacing w:lineRule="auto" w:line="276" w:before="0" w:after="0"/>
        <w:jc w:val="both"/>
        <w:rPr>
          <w:rFonts w:cs="Calibri" w:cstheme="minorHAnsi"/>
        </w:rPr>
      </w:pPr>
      <w:r>
        <w:rPr>
          <w:rFonts w:cs="Calibri" w:cstheme="minorHAnsi"/>
          <w:color w:val="000000" w:themeColor="text1"/>
        </w:rPr>
        <w:t xml:space="preserve">Wsparciem w realizacji Strategii Terytorialnej będzie Komitet Doradczy ds. </w:t>
      </w:r>
      <w:r>
        <w:rPr>
          <w:rFonts w:cs="Calibri" w:cstheme="minorHAnsi"/>
        </w:rPr>
        <w:t xml:space="preserve">Strategii Terytorialnej Miejskiego Obszaru Funkcjonalnego Włocławka, stanowiący ciało opiniodawczo – doradcze, działający na podstawie Statutu Stowarzyszenia oraz podjętych przez Zarząd Stowarzyszenia WŁOF Uchwały </w:t>
        <w:br/>
        <w:t xml:space="preserve">nr 12/2023 z dnia 20.02.2023r. oraz Uchwały nr 17/2023.03.2023r. Zadaniem Komitetu Doradczego jest: zapewnienie szerokiej partycypacji w procesie wdrażania Strategii, działanie w imieniu partnerów społeczno – gospodarczych </w:t>
      </w:r>
      <w:r>
        <w:rPr>
          <w:rFonts w:cs="Calibri" w:cstheme="minorHAnsi"/>
          <w:bCs/>
        </w:rPr>
        <w:t xml:space="preserve">właściwych tematycznie dla obszarów wsparcia w ramach Strategii, </w:t>
      </w:r>
      <w:r>
        <w:rPr>
          <w:rFonts w:cs="Calibri" w:cstheme="minorHAnsi"/>
        </w:rPr>
        <w:t xml:space="preserve">opiniowanie decyzji Zarządu Stowarzyszenia związanych z wdrażaniem Strategii oraz jej aktualizacją, wyrażanie opinii, wymiana informacji i dobrych praktyk, podejmowanie inicjatyw oraz proponowanie rozwiązań odnoszących się do realizacji Strategii Terytorialnej. Stanowisko Komitetu Doradczego </w:t>
        <w:br/>
        <w:t xml:space="preserve">ds. Strategii Terytorialnej Miejskiego Obszaru Funkcjonalnego Włocławka stanowi opinię doradczą, która może być wykorzystana przez organy Stowarzyszenia do realizacji zadań, jednak nie jest dla nich wiążąca. </w:t>
      </w:r>
    </w:p>
    <w:p>
      <w:pPr>
        <w:pStyle w:val="ListParagraph"/>
        <w:spacing w:lineRule="auto" w:line="240" w:before="0" w:after="0"/>
        <w:ind w:left="360" w:hanging="0"/>
        <w:rPr>
          <w:rFonts w:cs="Calibri" w:cstheme="minorHAnsi"/>
        </w:rPr>
      </w:pPr>
      <w:r>
        <w:rPr>
          <w:rFonts w:cs="Calibri" w:cstheme="minorHAnsi"/>
        </w:rPr>
      </w:r>
    </w:p>
    <w:p>
      <w:pPr>
        <w:pStyle w:val="Normal"/>
        <w:spacing w:lineRule="auto" w:line="276" w:before="0" w:after="0"/>
        <w:rPr>
          <w:rFonts w:cs="Calibri" w:cstheme="minorHAnsi"/>
          <w:u w:val="single"/>
        </w:rPr>
      </w:pPr>
      <w:r>
        <w:rPr>
          <w:rFonts w:cs="Calibri" w:cstheme="minorHAnsi"/>
          <w:u w:val="single"/>
        </w:rPr>
        <w:t>Zasady uzupełniania listy podstawowej i aktualizacja Strategii Terytorialnej</w:t>
      </w:r>
    </w:p>
    <w:p>
      <w:pPr>
        <w:pStyle w:val="ListParagraph"/>
        <w:spacing w:lineRule="auto" w:line="240" w:before="0" w:after="0"/>
        <w:ind w:left="360" w:hanging="0"/>
        <w:rPr>
          <w:rFonts w:cs="Calibri" w:cstheme="minorHAnsi"/>
        </w:rPr>
      </w:pPr>
      <w:r>
        <w:rPr>
          <w:rFonts w:cs="Calibri" w:cstheme="minorHAnsi"/>
        </w:rPr>
      </w:r>
    </w:p>
    <w:p>
      <w:pPr>
        <w:pStyle w:val="Normal"/>
        <w:spacing w:lineRule="auto" w:line="276"/>
        <w:jc w:val="both"/>
        <w:rPr>
          <w:rFonts w:cs="Calibri" w:cstheme="minorHAnsi"/>
        </w:rPr>
      </w:pPr>
      <w:r>
        <w:rPr>
          <w:rStyle w:val="Markedcontent"/>
          <w:rFonts w:cs="Calibri" w:cstheme="minorHAnsi"/>
        </w:rPr>
        <w:t>Aktualizacja dokumentu odbywać się będzie w tym samym trybie, co pierwsze opracowanie strategii</w:t>
      </w:r>
      <w:r>
        <w:rPr>
          <w:rFonts w:cs="Calibri" w:cstheme="minorHAnsi"/>
        </w:rPr>
        <w:br/>
      </w:r>
      <w:r>
        <w:rPr>
          <w:rStyle w:val="Markedcontent"/>
          <w:rFonts w:cs="Calibri" w:cstheme="minorHAnsi"/>
        </w:rPr>
        <w:t>i przyjęcie jej przez Władze Stowarzyszenia. Za aktualizację i wprowadzenie zmian w dokumencie</w:t>
      </w:r>
      <w:r>
        <w:rPr>
          <w:rFonts w:cs="Calibri" w:cstheme="minorHAnsi"/>
        </w:rPr>
        <w:t xml:space="preserve"> </w:t>
      </w:r>
      <w:r>
        <w:rPr>
          <w:rStyle w:val="Markedcontent"/>
          <w:rFonts w:cs="Calibri" w:cstheme="minorHAnsi"/>
        </w:rPr>
        <w:t>odpowiada Biuro Stowarzyszenia WŁOF, które przedkłada dokument do zaopiniowania przez Komitet Doradczy. Następnie dokument przyjmowany jest przez Zarząd Stowarzyszenia oraz zatwierdzany przez Walne Zebranie Członków w formie uchwały. Aktualizacja dokumentu podlega</w:t>
      </w:r>
      <w:r>
        <w:rPr>
          <w:rFonts w:cs="Calibri" w:cstheme="minorHAnsi"/>
        </w:rPr>
        <w:t xml:space="preserve"> </w:t>
      </w:r>
      <w:r>
        <w:rPr>
          <w:rStyle w:val="Markedcontent"/>
          <w:rFonts w:cs="Calibri" w:cstheme="minorHAnsi"/>
        </w:rPr>
        <w:t xml:space="preserve">opiniowaniu przez właściwą Instytucję Zarządzającą programem. </w:t>
      </w:r>
      <w:r>
        <w:rPr>
          <w:rFonts w:cs="Calibri" w:cstheme="minorHAnsi"/>
        </w:rPr>
        <w:t>Przewiduje się możliwość aktualizacji Strategii dwa razy w ciągu roku.</w:t>
      </w:r>
    </w:p>
    <w:p>
      <w:pPr>
        <w:pStyle w:val="Normal"/>
        <w:spacing w:lineRule="auto" w:line="276" w:before="0" w:after="0"/>
        <w:jc w:val="both"/>
        <w:rPr>
          <w:rFonts w:cs="Calibri" w:cstheme="minorHAnsi"/>
        </w:rPr>
      </w:pPr>
      <w:r>
        <w:rPr>
          <w:rFonts w:cs="Calibri" w:cstheme="minorHAnsi"/>
        </w:rPr>
        <w:t xml:space="preserve">W przypadku aktualizacji Strategii, polegającej wyłącznie na zmianie jej pojedynczych ustaleń merytorycznych, konsultacje społeczne przeprowadzane będą w obszarze całego partnerstwa, przy czym w tych jego częściach, których dokonywane zmiany nie dotyczą, możliwe będzie zastosowanie technik nie wymagających zaangażowania znaczących sił i środków np. informacje i opinie na temat zmian pozyskiwane będą drogą elektroniczną. W przypadku aktualizacji Strategii polegającej </w:t>
        <w:br/>
        <w:t xml:space="preserve">na usunięciu projektu lub wprowadzeniu nowego projektu, konsultacje społeczne przeprowadzone zostaną uwzględniając różne techniki konsultacji w tych gminach, na terenie których projekty zostały </w:t>
        <w:br/>
        <w:t>w wyniku zmiany usunięte lub wprowadzone. W przypadku aktualizacji Strategii polegającej na wprowadzeniu zmian w projektach dotyczących różnych części partnerstw, konsultacje społeczne przeprowadzone zostaną w obszarze całego partnerstwa. Konsultacje społeczne odnosić się będą tylko i wyłącznie do zakresu zmienianego, a nie do ustaleń wcześniej podjętych, nieobjętych zmianą. Przeprowadzenia konsultacji nie wymagają zmiany o charakterze finansowym lub organizacyjnym, które nie wpływają na efekty realizacji Strategii.</w:t>
      </w:r>
    </w:p>
    <w:p>
      <w:pPr>
        <w:pStyle w:val="Normal"/>
        <w:spacing w:lineRule="auto" w:line="276"/>
        <w:jc w:val="both"/>
        <w:rPr>
          <w:rStyle w:val="Markedcontent"/>
          <w:rFonts w:cs="Calibri" w:cstheme="minorHAnsi"/>
        </w:rPr>
      </w:pPr>
      <w:r>
        <w:rPr>
          <w:rFonts w:cs="Calibri" w:cstheme="minorHAnsi"/>
        </w:rPr>
      </w:r>
    </w:p>
    <w:p>
      <w:pPr>
        <w:pStyle w:val="Normal"/>
        <w:spacing w:lineRule="auto" w:line="276"/>
        <w:jc w:val="both"/>
        <w:rPr>
          <w:rStyle w:val="Markedcontent"/>
          <w:rFonts w:cs="" w:cstheme="minorBidi"/>
        </w:rPr>
      </w:pPr>
      <w:r>
        <w:rPr>
          <w:rStyle w:val="Markedcontent"/>
          <w:rFonts w:cs="Calibri" w:cstheme="minorHAnsi"/>
        </w:rPr>
        <w:t xml:space="preserve">Po pozytywnym opiniowaniu dokumentu Strategii Terytorialnej Miejskiego Obszaru Funkcjonalnego Włocławka planuje się podpisać z Instytucją Zarządzającą Porozumienie Terytorialne, które ma celu przede wszystkim uzgodnienie zasad i zakresu wsparcia realizacji Strategii w ramach FEdKp 2021-2027,  a także określenie listy przedsięwzięć priorytetowych, ważnych dla rozwoju MOF Włocławka oraz fiszek projektowych, zawierających wskaźniki produktu i rezultatu zaplanowane do realizacji w ramach obszarów dedykowanych dla ZIT Włocławka. Porozumienie Terytorialne będzie miało przede wszystkim na celu uzgodnienie zasad i zakresu wsparcia realizacji Strategii w ramach FEdKP, a także określenie listy przedsięwzięć priorytetowych, ważnych dla rozwoju obszaru MOF Włocławka oraz fiszek projektowych, zawierających wskaźniki produktu i rezultatu zaplanowane do realizacji w ramach obszarów dedykowanych dla ZIT Włocławka. W Porozumieniu zostanie równej określony harmonogram przygotowania, realizacji oraz płatności przedsięwzięć priorytetowych. Wskazane zostaną również zasady obowiązujące w przypadku niewykorzystania alokacji lub niskiego stopnia jej wykorzystania. </w:t>
      </w:r>
    </w:p>
    <w:p>
      <w:pPr>
        <w:pStyle w:val="Normal"/>
        <w:rPr/>
      </w:pPr>
      <w:r>
        <w:rPr/>
      </w:r>
    </w:p>
    <w:p>
      <w:pPr>
        <w:pStyle w:val="Nagwek1"/>
        <w:numPr>
          <w:ilvl w:val="0"/>
          <w:numId w:val="60"/>
        </w:numPr>
        <w:rPr/>
      </w:pPr>
      <w:bookmarkStart w:id="227" w:name="_Hlk134172320"/>
      <w:bookmarkStart w:id="228" w:name="_Toc143161937"/>
      <w:r>
        <w:rPr/>
        <w:t>Opis procesu zaangażowania partnerów zewnętrznych</w:t>
      </w:r>
      <w:bookmarkEnd w:id="228"/>
      <w:r>
        <w:rPr/>
        <w:t xml:space="preserve"> </w:t>
      </w:r>
      <w:bookmarkStart w:id="229" w:name="_Hlk134098376"/>
      <w:bookmarkEnd w:id="227"/>
      <w:bookmarkEnd w:id="229"/>
    </w:p>
    <w:p>
      <w:pPr>
        <w:pStyle w:val="Normal"/>
        <w:spacing w:lineRule="auto" w:line="276"/>
        <w:jc w:val="both"/>
        <w:rPr>
          <w:rFonts w:cs="Calibri" w:cstheme="minorHAnsi"/>
        </w:rPr>
      </w:pPr>
      <w:r>
        <w:rPr>
          <w:rFonts w:cs="Calibri" w:cstheme="minorHAnsi"/>
        </w:rPr>
        <w:t xml:space="preserve">W procesie planowania rozwoju Miejskiego Obszaru Funkcjonalnego Włocławka istotne było uwzględnienie rzeczywistych potrzeb nie tylko samorządów, ale przede wszystkim społeczności lokalnej. Od października 2021r. odbywały się cyklicznie spotkania przedstawicieli samorządów MOF Włocławka, na których przystąpiono do prac w zakresie rozpoznawania potrzeb oraz identyfikacji projektów. Podczas spotkań omawiano również tryb współpracy w ramach Miejskiego Obszaru Funkcjonalnego Włocławka oraz potrzebę podjęcia prac, które umożliwią opracowanie Strategii Terytorialnej Miejskiego Obszaru Funkcjonalnego Włocławka. Przedmiotem rozmów podejmowanych na spotkaniach były cele, działania oraz propozycje rodzajów projektów, ujętych do realizacji w formule ZIT.   </w:t>
      </w:r>
    </w:p>
    <w:p>
      <w:pPr>
        <w:pStyle w:val="Normal"/>
        <w:spacing w:lineRule="auto" w:line="276"/>
        <w:jc w:val="both"/>
        <w:rPr>
          <w:rFonts w:cs="Calibri" w:cstheme="minorHAnsi"/>
        </w:rPr>
      </w:pPr>
      <w:r>
        <w:rPr>
          <w:rFonts w:cs="Calibri" w:cstheme="minorHAnsi"/>
        </w:rPr>
        <w:t xml:space="preserve">W celu przyjęcia i realizacji wspólnej dla Miejskiego Obszaru Funkcjonalnego Włocławka Strategii Terytorialnej, zostało powołane Stowarzyszenie WŁOF. W dniu 17.11.2022r. odbyło </w:t>
        <w:br/>
        <w:t xml:space="preserve">się zebranie założycielskie, z udziałem przedstawicieli jednostek samorządu terytorialnego, których organy stanowiące podjęły uchwały w sprawie założenia Stowarzyszenia WŁOF – Zintegrowane Inwestycje Miejskiego Obszaru Funkcjonalnego Włocławka. Stowarzyszenie zostało wpisane </w:t>
        <w:br/>
        <w:t xml:space="preserve">do Krajowego Rejestru Sądowego w dniu 29.12.2022r. Zgodnie ze Statutem Stowarzyszenia WŁOF, jego celem jest współdziałanie w zakresie zrównoważonego rozwoju </w:t>
      </w:r>
      <w:bookmarkStart w:id="230" w:name="_Hlk98318131"/>
      <w:r>
        <w:rPr>
          <w:rFonts w:cs="Calibri" w:cstheme="minorHAnsi"/>
        </w:rPr>
        <w:t>Miejskiego Obszaru Funkcjonalnego Włocławka</w:t>
      </w:r>
      <w:bookmarkEnd w:id="230"/>
      <w:r>
        <w:rPr>
          <w:rFonts w:cs="Calibri" w:cstheme="minorHAnsi"/>
        </w:rPr>
        <w:t xml:space="preserve">, podnoszenie jakości usług publicznych świadczonych na rzecz mieszkańców Miejskiego Obszaru Funkcjonalnego Włocławka, efektywne i racjonalne wykorzystanie środków finansowych, w tym dostępnych w ramach instrumentów polityki terytorialnej województwa. Ponadto na etapie prac nad Strategią Terytorialną, w ramach kompleksowej diagnozy społeczno-gospodarczej, odbywały się rozmowy i spotkania z przedstawicielami MOF Włocławka, którzy przekazywali informacje dotyczące propozycji projektów strategicznych oraz uzupełniali dane </w:t>
        <w:br/>
        <w:t xml:space="preserve">do diagnozy. </w:t>
      </w:r>
    </w:p>
    <w:p>
      <w:pPr>
        <w:pStyle w:val="Default"/>
        <w:spacing w:lineRule="auto" w:line="276" w:before="0" w:after="21"/>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Głównym celem Zintegrowanych Inwestycji Terytorialnych jest współpraca pomiędzy jednostkami samorządu terytorialnego na obszarze Miejskiego Obszaru Funkcjonalnego Włocławka, która prowadzi do realizacji zintegrowanych projektów odpowiadających na problemy zdiagnozowane na terenie MOF Włocławka. Spowodowało to partycypacyjne podejście i ustalenie z gminami wspólnych zintegrowanych projektów, które zostały określone w dokumencie Strategii. Strategia Terytorialna Miejskiego Obszaru Funkcjonalnego Włocławka została opracowana w pełnej zgodności z zasadą partycypacji społecznej. Zagwarantowano udział partnerów społeczno – gospodarczych składających się z przedstawicieli organizacji społeczeństwa obywatelskiego, podmiotów działających na rzecz ochrony środowiska oraz odpowiedzialnych za promowanie włączenia społecznego, praw podstawowych, praw osób ze specjalnymi potrzebami, równości płci i niedyskryminacji, instytucji otoczenia biznesu prowadzących działalność na terenie gmin wchodzących w skład MOF Włocławka. Ponadto, wg zapisów ustawy o zasadach prowadzenia polityki rozwoju. Podejście takie pozwala</w:t>
        <w:br/>
        <w:t xml:space="preserve"> na wykorzystanie potencjału wszystkich angażowanych stron i jednocześnie buduje poczucie wspólnej odpowiedzialności władz samorządowych oraz mieszkańców. Partnerski model współpracy będzie również realizowany na etapie wdrażania, aktualizacji oraz ewaluacji Strategii Terytorialnej. Pozwoli </w:t>
        <w:br/>
        <w:t>to na wspólną realizację przyjętych celów oraz ocenę skuteczności założeń oraz osiągniętych efektów.</w:t>
      </w:r>
    </w:p>
    <w:p>
      <w:pPr>
        <w:pStyle w:val="Default"/>
        <w:spacing w:lineRule="auto" w:line="276" w:before="0" w:after="21"/>
        <w:ind w:firstLine="708"/>
        <w:jc w:val="both"/>
        <w:rPr>
          <w:rFonts w:ascii="Calibri" w:hAnsi="Calibri" w:cs="Calibri" w:asciiTheme="minorHAnsi" w:cstheme="minorHAnsi" w:hAnsiTheme="minorHAnsi"/>
          <w:sz w:val="22"/>
          <w:szCs w:val="22"/>
        </w:rPr>
      </w:pPr>
      <w:r>
        <w:rPr>
          <w:rFonts w:cs="Calibri" w:cstheme="minorHAnsi" w:ascii="Calibri" w:hAnsi="Calibri"/>
          <w:sz w:val="22"/>
          <w:szCs w:val="22"/>
        </w:rPr>
      </w:r>
    </w:p>
    <w:p>
      <w:pPr>
        <w:pStyle w:val="Default"/>
        <w:spacing w:lineRule="auto" w:line="276"/>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Zgodnie z wymogami </w:t>
      </w:r>
      <w:r>
        <w:rPr>
          <w:rFonts w:cs="Calibri" w:ascii="Calibri" w:hAnsi="Calibri" w:asciiTheme="minorHAnsi" w:cstheme="minorHAnsi" w:hAnsiTheme="minorHAnsi"/>
          <w:i/>
          <w:iCs/>
          <w:color w:val="auto"/>
          <w:sz w:val="22"/>
          <w:szCs w:val="22"/>
        </w:rPr>
        <w:t xml:space="preserve">Umowy Partnerstwa dla realizacji Polityki Spójności 2021-2027 </w:t>
        <w:br/>
        <w:t>w Polsce</w:t>
      </w:r>
      <w:r>
        <w:rPr>
          <w:rFonts w:cs="Calibri" w:ascii="Calibri" w:hAnsi="Calibri" w:asciiTheme="minorHAnsi" w:cstheme="minorHAnsi" w:hAnsiTheme="minorHAnsi"/>
          <w:i/>
          <w:iCs/>
          <w:sz w:val="22"/>
          <w:szCs w:val="22"/>
        </w:rPr>
        <w:t>,</w:t>
      </w:r>
      <w:r>
        <w:rPr>
          <w:rFonts w:cs="Calibri" w:ascii="Calibri" w:hAnsi="Calibri" w:asciiTheme="minorHAnsi" w:cstheme="minorHAnsi" w:hAnsiTheme="minorHAnsi"/>
          <w:sz w:val="22"/>
          <w:szCs w:val="22"/>
        </w:rPr>
        <w:t xml:space="preserve"> przeprowadzono otwarty nabór na Członków Komitetu Doradczego ds. Strategii Terytorialnej Miejskiego Obszaru Funkcjonalnego Włocławka. Komitet Doradczy stanowi ciało opiniodawczo - doradcze w sprawach związanych z opracowaniem i wdrażaniem Strategii Terytorialnej Miejskiego Obszaru Funkcjonalnego Włocławka. Otwarty nabór na Członków Komitetu Doradczego ds. Strategii Terytorialnej Miejskiego Obszaru Funkcjonalnego Włocławka przeprowadzony został w dniach </w:t>
        <w:br/>
        <w:t>od 28 lutego do 8 marca 2023r. Informacja o naborze została zamieszczona na stronach internetowych jednostek samorządu terytorialnego wchodzących w skład Miejskiego Obszaru Funkcjonalnego Włocławka oraz Powiatu Włocławskiego.</w:t>
      </w:r>
    </w:p>
    <w:p>
      <w:pPr>
        <w:pStyle w:val="Default"/>
        <w:spacing w:lineRule="auto" w:line="276"/>
        <w:ind w:firstLine="708"/>
        <w:jc w:val="both"/>
        <w:rPr>
          <w:rFonts w:ascii="Calibri" w:hAnsi="Calibri" w:cs="Calibri" w:asciiTheme="minorHAnsi" w:cstheme="minorHAnsi" w:hAnsiTheme="minorHAnsi"/>
          <w:sz w:val="22"/>
          <w:szCs w:val="22"/>
        </w:rPr>
      </w:pPr>
      <w:r>
        <w:rPr>
          <w:rFonts w:cs="Calibri" w:cstheme="minorHAnsi" w:ascii="Calibri" w:hAnsi="Calibri"/>
          <w:sz w:val="22"/>
          <w:szCs w:val="22"/>
        </w:rPr>
      </w:r>
    </w:p>
    <w:p>
      <w:pPr>
        <w:pStyle w:val="Default"/>
        <w:spacing w:lineRule="auto" w:line="276"/>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themeColor="text1"/>
          <w:sz w:val="22"/>
          <w:szCs w:val="22"/>
        </w:rPr>
        <w:t xml:space="preserve">Jego reprezentacja uwzględnia m.in. społeczeństwo obywatelskie, podmioty działające na rzecz ochrony środowiska oraz odpowiedzialne za włączenie społeczne, prawa podstawowe, prawa osób </w:t>
        <w:br/>
        <w:t xml:space="preserve">ze specjalnymi potrzebami, równości płci i niedyskryminacji. </w:t>
      </w:r>
    </w:p>
    <w:p>
      <w:pPr>
        <w:pStyle w:val="Standard"/>
        <w:spacing w:before="0" w:after="200"/>
        <w:jc w:val="both"/>
        <w:rPr>
          <w:rFonts w:ascii="Calibri" w:hAnsi="Calibri" w:cs="Calibri" w:asciiTheme="minorHAnsi" w:cstheme="minorHAnsi" w:hAnsiTheme="minorHAnsi"/>
          <w:sz w:val="22"/>
          <w:szCs w:val="22"/>
        </w:rPr>
      </w:pPr>
      <w:r>
        <w:rPr>
          <w:rFonts w:cs="Calibri" w:cstheme="minorHAnsi"/>
          <w:sz w:val="22"/>
          <w:szCs w:val="22"/>
        </w:rPr>
        <w:t xml:space="preserve">W dniu 9 marca 2023r. Komisja Oceniająca powołana przez Dyrektora Biura Stowarzyszenia, przeprowadziła ocenę zgłoszeń i zarekomendowała kandydatów - partnerów społeczno – gospodarczych na Członków do Komitetu Doradczego. Swój akces do udziału w Komitecie Doradczym zgłosiło 6 podmiotów, z czego 2 zostały odrzucone z powodu niespełniania kryterium merytorycznego, natomiast 4 podmioty </w:t>
      </w:r>
      <w:r>
        <w:rPr>
          <w:rFonts w:cs="Calibri" w:cstheme="minorHAnsi"/>
          <w:iCs/>
          <w:sz w:val="22"/>
          <w:szCs w:val="22"/>
        </w:rPr>
        <w:t xml:space="preserve">spełniły kryterium formalne oraz merytoryczne i zostały zarekomendowane przez Komisję Oceniającą. </w:t>
      </w:r>
    </w:p>
    <w:p>
      <w:pPr>
        <w:pStyle w:val="Normal"/>
        <w:spacing w:lineRule="auto" w:line="276"/>
        <w:jc w:val="both"/>
        <w:rPr>
          <w:rFonts w:cs="Calibri" w:cstheme="minorHAnsi"/>
        </w:rPr>
      </w:pPr>
      <w:r>
        <w:rPr>
          <w:rFonts w:cs="Calibri" w:cstheme="minorHAnsi"/>
        </w:rPr>
        <w:t>W rezultacie przeprowadzonego otwartego naboru na Członków Komitetu Doradczego, w dniu 23.03.2023r. Zarząd Stowarzyszenia WŁOF - Zintegrowane Inwestycje Terytorialne Miejskiego Obszaru Funkcjonalnego Włocławka podjął uchwałę w sprawie powołania Komitetu Doradczego ds. Strategii Terytorialnej Miejskiego Obszaru Funkcjonalnego Włocławka. Członkami Komitetu Doradczego zostały następujące podmioty:</w:t>
      </w:r>
    </w:p>
    <w:p>
      <w:pPr>
        <w:pStyle w:val="ListParagraph"/>
        <w:numPr>
          <w:ilvl w:val="0"/>
          <w:numId w:val="17"/>
        </w:numPr>
        <w:spacing w:lineRule="auto" w:line="276" w:before="0" w:after="160"/>
        <w:contextualSpacing/>
        <w:rPr>
          <w:rFonts w:cs="Calibri" w:cstheme="minorHAnsi"/>
        </w:rPr>
      </w:pPr>
      <w:r>
        <w:rPr>
          <w:rFonts w:cs="Calibri" w:cstheme="minorHAnsi"/>
        </w:rPr>
        <w:t>Stowarzyszenie Lokalna Grupa Działania Miasto Włocławek</w:t>
      </w:r>
    </w:p>
    <w:p>
      <w:pPr>
        <w:pStyle w:val="ListParagraph"/>
        <w:numPr>
          <w:ilvl w:val="0"/>
          <w:numId w:val="17"/>
        </w:numPr>
        <w:spacing w:lineRule="auto" w:line="276" w:before="0" w:after="160"/>
        <w:contextualSpacing/>
        <w:rPr>
          <w:rFonts w:cs="Calibri" w:cstheme="minorHAnsi"/>
        </w:rPr>
      </w:pPr>
      <w:r>
        <w:rPr>
          <w:rFonts w:cs="Calibri" w:cstheme="minorHAnsi"/>
        </w:rPr>
        <w:t>Fundacja CAIETANUS z siedzibą we Włocławku</w:t>
      </w:r>
    </w:p>
    <w:p>
      <w:pPr>
        <w:pStyle w:val="ListParagraph"/>
        <w:numPr>
          <w:ilvl w:val="0"/>
          <w:numId w:val="17"/>
        </w:numPr>
        <w:spacing w:lineRule="auto" w:line="276" w:before="0" w:after="160"/>
        <w:contextualSpacing/>
        <w:rPr>
          <w:rFonts w:cs="Calibri" w:cstheme="minorHAnsi"/>
        </w:rPr>
      </w:pPr>
      <w:r>
        <w:rPr>
          <w:rFonts w:cs="Calibri" w:cstheme="minorHAnsi"/>
        </w:rPr>
        <w:t>Stowarzyszenie promujące edukację i rozwój „Perspektywa” z siedzibą we Włocławku</w:t>
      </w:r>
    </w:p>
    <w:p>
      <w:pPr>
        <w:pStyle w:val="ListParagraph"/>
        <w:numPr>
          <w:ilvl w:val="0"/>
          <w:numId w:val="17"/>
        </w:numPr>
        <w:spacing w:lineRule="auto" w:line="276" w:before="0" w:after="160"/>
        <w:contextualSpacing/>
        <w:rPr>
          <w:rFonts w:cs="Calibri" w:cstheme="minorHAnsi"/>
        </w:rPr>
      </w:pPr>
      <w:r>
        <w:rPr>
          <w:rFonts w:cs="Calibri" w:cstheme="minorHAnsi"/>
        </w:rPr>
        <w:t>Fundacja na Rzecz Rozwoju Nauki, Kultury i Przedsiębiorczości „Vladislawia” z siedzibą we Włocławku</w:t>
      </w:r>
    </w:p>
    <w:p>
      <w:pPr>
        <w:pStyle w:val="Default"/>
        <w:spacing w:lineRule="auto" w:line="276" w:before="0" w:after="139"/>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themeColor="text1"/>
          <w:sz w:val="22"/>
          <w:szCs w:val="22"/>
        </w:rPr>
        <w:t xml:space="preserve">Komitet Doradczy </w:t>
      </w:r>
      <w:r>
        <w:rPr>
          <w:rFonts w:cs="Calibri" w:ascii="Calibri" w:hAnsi="Calibri" w:asciiTheme="minorHAnsi" w:cstheme="minorHAnsi" w:hAnsiTheme="minorHAnsi"/>
          <w:sz w:val="22"/>
          <w:szCs w:val="22"/>
        </w:rPr>
        <w:t xml:space="preserve">uprawniony jest do opiniowania decyzji Zarządu Stowarzyszenia WŁOF – Zintegrowane Inwestycje Terytorialne Miejskiego Obszaru Funkcjonalnego Włocławka związanych </w:t>
        <w:br/>
        <w:t xml:space="preserve">z przygotowaniem i wdrażaniem Strategii Terytorialnej, wyrażania opinii, wymiany informacji </w:t>
        <w:br/>
        <w:t>i dobrych praktyk, podejmowania inicjatyw oraz proponowania rozwiązań odnoszących się do realizacji Strategii Terytorialnej.</w:t>
      </w:r>
    </w:p>
    <w:p>
      <w:pPr>
        <w:pStyle w:val="Default"/>
        <w:spacing w:lineRule="auto" w:line="276" w:before="0" w:after="139"/>
        <w:jc w:val="both"/>
        <w:rPr>
          <w:rStyle w:val="Markedcontent"/>
          <w:rFonts w:ascii="Calibri" w:hAnsi="Calibri" w:cs="Calibri" w:asciiTheme="minorHAnsi" w:cstheme="minorHAnsi" w:hAnsiTheme="minorHAnsi"/>
          <w:sz w:val="22"/>
          <w:szCs w:val="22"/>
        </w:rPr>
      </w:pPr>
      <w:r>
        <w:rPr>
          <w:rStyle w:val="Markedcontent"/>
          <w:rFonts w:cs="Calibri" w:ascii="Calibri" w:hAnsi="Calibri" w:asciiTheme="minorHAnsi" w:cstheme="minorHAnsi" w:hAnsiTheme="minorHAnsi"/>
          <w:sz w:val="22"/>
          <w:szCs w:val="22"/>
        </w:rPr>
        <w:t xml:space="preserve">W Regulaminie naboru i pracy Komitetu Doradczego przewidziano możliwość rozszerzenia składu Komitetu Doradczego – powołanie dodatkowych partnerów społeczno – gospodarczych w ramach uzupełniających, zamkniętych </w:t>
      </w:r>
      <w:r>
        <w:rPr>
          <w:rFonts w:cs="Calibri" w:ascii="Calibri" w:hAnsi="Calibri" w:asciiTheme="minorHAnsi" w:cstheme="minorHAnsi" w:hAnsiTheme="minorHAnsi"/>
          <w:sz w:val="22"/>
          <w:szCs w:val="22"/>
        </w:rPr>
        <w:t xml:space="preserve">form naboru, w tym indywidualne zaproszenia do członkostwa </w:t>
        <w:br/>
        <w:t xml:space="preserve">w Komitecie Doradczym ds. Strategii Terytorialnej Miejskiego Obszaru Funkcjonalnego Włocławka. </w:t>
      </w:r>
    </w:p>
    <w:p>
      <w:pPr>
        <w:pStyle w:val="Normal"/>
        <w:spacing w:lineRule="auto" w:line="276"/>
        <w:jc w:val="both"/>
        <w:rPr>
          <w:rStyle w:val="Markedcontent"/>
          <w:rFonts w:cs="Calibri" w:cstheme="minorHAnsi"/>
          <w:color w:val="000000" w:themeColor="text1"/>
        </w:rPr>
      </w:pPr>
      <w:r>
        <w:rPr>
          <w:rStyle w:val="Markedcontent"/>
          <w:rFonts w:cs="Calibri" w:cstheme="minorHAnsi"/>
          <w:color w:val="000000" w:themeColor="text1"/>
        </w:rPr>
        <w:t xml:space="preserve">W dniu 13.07.2023r. Zarząd Stowarzyszenia WŁOF – Zintegrowane Inwestycje Terytorialne Miejskiego Obszaru Funkcjonalnego Włocławka przyjął uchwałę w sprawie przyjęcia projektu Strategii Terytorialnej Miejskiego Obszaru Funkcjonalnego Włocławka i skierowaniu jej do konsultacji społecznych. </w:t>
      </w:r>
      <w:r>
        <w:rPr>
          <w:rFonts w:cs="Calibri" w:cstheme="minorHAnsi"/>
        </w:rPr>
        <w:t>Termin</w:t>
      </w:r>
      <w:r>
        <w:rPr>
          <w:rStyle w:val="Markedcontent"/>
          <w:rFonts w:cs="Calibri" w:cstheme="minorHAnsi"/>
          <w:color w:val="000000" w:themeColor="text1"/>
        </w:rPr>
        <w:t xml:space="preserve"> konsultacji społecznych został przewidziany od dnia 24.07.2023r. do 13.08.2023r.</w:t>
      </w:r>
    </w:p>
    <w:p>
      <w:pPr>
        <w:pStyle w:val="Default"/>
        <w:spacing w:lineRule="auto" w:line="276" w:before="0" w:after="139"/>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themeColor="text1"/>
          <w:sz w:val="22"/>
          <w:szCs w:val="22"/>
        </w:rPr>
        <w:t xml:space="preserve">Celem przeprowadzenia konsultacji było poinformowanie mieszkańców Miasta Włocławek oraz mieszkańców Miejskiego Obszaru Funkcjonalnego Włocławka o przygotowanym projekcie Strategii Terytorialnej </w:t>
      </w:r>
      <w:r>
        <w:rPr>
          <w:rFonts w:cs="Calibri" w:ascii="Calibri" w:hAnsi="Calibri" w:asciiTheme="minorHAnsi" w:cstheme="minorHAnsi" w:hAnsiTheme="minorHAnsi"/>
          <w:sz w:val="22"/>
          <w:szCs w:val="22"/>
        </w:rPr>
        <w:t xml:space="preserve">Miejskiego Obszaru Funkcjonalnego Włocławka. Przeprowadzone konsultacje dały uczestnikom możliwość zapoznania się z projektem dokumentu, a także umożliwiły zebranie uwag, wniosków, opinii oraz zaangażowanie interesariuszy w proces podejmowania decyzji co do kierunków dalszego rozwoju. </w:t>
      </w:r>
      <w:r>
        <w:rPr>
          <w:rFonts w:cs="Calibri" w:ascii="Calibri" w:hAnsi="Calibri" w:asciiTheme="minorHAnsi" w:cstheme="minorHAnsi" w:hAnsiTheme="minorHAnsi"/>
          <w:color w:val="000000" w:themeColor="text1"/>
          <w:sz w:val="22"/>
          <w:szCs w:val="22"/>
        </w:rPr>
        <w:t xml:space="preserve"> </w:t>
      </w:r>
      <w:r>
        <w:rPr>
          <w:rFonts w:cs="Calibri" w:ascii="Calibri" w:hAnsi="Calibri" w:asciiTheme="minorHAnsi" w:cstheme="minorHAnsi" w:hAnsiTheme="minorHAnsi"/>
          <w:sz w:val="22"/>
          <w:szCs w:val="22"/>
        </w:rPr>
        <w:t xml:space="preserve"> </w:t>
      </w:r>
    </w:p>
    <w:p>
      <w:pPr>
        <w:pStyle w:val="Default"/>
        <w:spacing w:lineRule="auto" w:line="276" w:before="0" w:after="139"/>
        <w:jc w:val="both"/>
        <w:rPr>
          <w:rStyle w:val="Markedcontent"/>
          <w:rFonts w:ascii="Calibri" w:hAnsi="Calibri" w:cs="Calibri" w:asciiTheme="minorHAnsi" w:cstheme="minorHAnsi" w:hAnsiTheme="minorHAnsi"/>
          <w:sz w:val="22"/>
          <w:szCs w:val="22"/>
        </w:rPr>
      </w:pPr>
      <w:r>
        <w:rPr>
          <w:rFonts w:cs="Calibri" w:ascii="Calibri" w:hAnsi="Calibri" w:asciiTheme="minorHAnsi" w:cstheme="minorHAnsi" w:hAnsiTheme="minorHAnsi"/>
          <w:color w:val="FF0000"/>
          <w:sz w:val="22"/>
          <w:szCs w:val="22"/>
        </w:rPr>
        <w:br/>
      </w:r>
      <w:r>
        <w:rPr>
          <w:rStyle w:val="Markedcontent"/>
          <w:rFonts w:cs="Calibri" w:ascii="Calibri" w:hAnsi="Calibri" w:asciiTheme="minorHAnsi" w:cstheme="minorHAnsi" w:hAnsiTheme="minorHAnsi"/>
          <w:color w:val="000000" w:themeColor="text1"/>
          <w:sz w:val="22"/>
          <w:szCs w:val="22"/>
        </w:rPr>
        <w:t xml:space="preserve">Przyjęto następujący sposób informowania interesariuszy o konsultacjach społecznych: </w:t>
      </w:r>
    </w:p>
    <w:p>
      <w:pPr>
        <w:pStyle w:val="ListParagraph"/>
        <w:numPr>
          <w:ilvl w:val="0"/>
          <w:numId w:val="18"/>
        </w:numPr>
        <w:spacing w:lineRule="auto" w:line="276" w:before="0" w:after="160"/>
        <w:contextualSpacing/>
        <w:rPr>
          <w:rStyle w:val="Markedcontent"/>
          <w:rFonts w:cs="Calibri" w:cstheme="minorHAnsi"/>
        </w:rPr>
      </w:pPr>
      <w:r>
        <w:rPr>
          <w:rStyle w:val="Markedcontent"/>
          <w:rFonts w:cs="Calibri" w:cstheme="minorHAnsi"/>
        </w:rPr>
        <w:t xml:space="preserve">zamieszczenie na oficjalnych stronach internetowych jednostek samorządu terytorialnego MOF Włocławka informacji o odbywających się konsultacjach społecznych oraz </w:t>
      </w:r>
      <w:bookmarkStart w:id="231" w:name="_Hlk136256255"/>
      <w:r>
        <w:rPr>
          <w:rStyle w:val="Markedcontent"/>
          <w:rFonts w:cs="Calibri" w:cstheme="minorHAnsi"/>
        </w:rPr>
        <w:t xml:space="preserve">na stronie internetowej Stowarzyszenia WŁOF: </w:t>
      </w:r>
      <w:hyperlink r:id="rId61">
        <w:r>
          <w:rPr>
            <w:rStyle w:val="Czeinternetowe"/>
            <w:rFonts w:cs="Calibri" w:cstheme="minorHAnsi"/>
          </w:rPr>
          <w:t>https://wlof.wloclawek.eu/</w:t>
        </w:r>
      </w:hyperlink>
      <w:r>
        <w:rPr>
          <w:rStyle w:val="Markedcontent"/>
          <w:rFonts w:cs="Calibri" w:cstheme="minorHAnsi"/>
        </w:rPr>
        <w:t xml:space="preserve"> , </w:t>
      </w:r>
      <w:bookmarkEnd w:id="231"/>
      <w:r>
        <w:rPr>
          <w:rStyle w:val="Markedcontent"/>
          <w:rFonts w:cs="Calibri" w:cstheme="minorHAnsi"/>
        </w:rPr>
        <w:t xml:space="preserve"> </w:t>
      </w:r>
    </w:p>
    <w:p>
      <w:pPr>
        <w:pStyle w:val="ListParagraph"/>
        <w:numPr>
          <w:ilvl w:val="0"/>
          <w:numId w:val="18"/>
        </w:numPr>
        <w:spacing w:lineRule="auto" w:line="276" w:before="0" w:after="160"/>
        <w:contextualSpacing/>
        <w:rPr>
          <w:rStyle w:val="Markedcontent"/>
          <w:rFonts w:cs="Calibri" w:cstheme="minorHAnsi"/>
        </w:rPr>
      </w:pPr>
      <w:r>
        <w:rPr>
          <w:rStyle w:val="Markedcontent"/>
          <w:rFonts w:cs="Calibri" w:cstheme="minorHAnsi"/>
        </w:rPr>
        <w:t>zamieszczenie informacji o trwających konsultacjach na</w:t>
      </w:r>
      <w:r>
        <w:rPr>
          <w:rFonts w:cs="Calibri" w:cstheme="minorHAnsi"/>
        </w:rPr>
        <w:t xml:space="preserve"> </w:t>
      </w:r>
      <w:r>
        <w:rPr>
          <w:rStyle w:val="Markedcontent"/>
          <w:rFonts w:cs="Calibri" w:cstheme="minorHAnsi"/>
        </w:rPr>
        <w:t xml:space="preserve">tablicach informacyjnych </w:t>
        <w:br/>
        <w:t xml:space="preserve">w urzędach Gmin MOF Włocławka,  </w:t>
      </w:r>
    </w:p>
    <w:p>
      <w:pPr>
        <w:pStyle w:val="ListParagraph"/>
        <w:numPr>
          <w:ilvl w:val="0"/>
          <w:numId w:val="18"/>
        </w:numPr>
        <w:spacing w:lineRule="auto" w:line="276" w:before="0" w:after="160"/>
        <w:contextualSpacing/>
        <w:rPr>
          <w:rStyle w:val="Markedcontent"/>
          <w:rFonts w:cs="Calibri" w:cstheme="minorHAnsi"/>
        </w:rPr>
      </w:pPr>
      <w:r>
        <w:rPr>
          <w:rStyle w:val="Markedcontent"/>
          <w:rFonts w:cs="Calibri" w:cstheme="minorHAnsi"/>
        </w:rPr>
        <w:t>zamieszczenie artykułów informacyjnych o trwających konsultacjach społecznych w mediach społecznościowych Członków Stowarzyszenia oraz Stowarzyszenia WŁOF,</w:t>
      </w:r>
    </w:p>
    <w:p>
      <w:pPr>
        <w:pStyle w:val="ListParagraph"/>
        <w:numPr>
          <w:ilvl w:val="0"/>
          <w:numId w:val="18"/>
        </w:numPr>
        <w:spacing w:lineRule="auto" w:line="276" w:before="0" w:after="160"/>
        <w:contextualSpacing/>
        <w:rPr>
          <w:rStyle w:val="Markedcontent"/>
          <w:rFonts w:cs="Calibri" w:cstheme="minorHAnsi"/>
        </w:rPr>
      </w:pPr>
      <w:r>
        <w:rPr>
          <w:rStyle w:val="Markedcontent"/>
          <w:rFonts w:cs="Calibri" w:cstheme="minorHAnsi"/>
        </w:rPr>
        <w:t xml:space="preserve">zamieszczenie informacji o trwających konsultacjach społecznych w prasie lokalnej, </w:t>
      </w:r>
    </w:p>
    <w:p>
      <w:pPr>
        <w:pStyle w:val="ListParagraph"/>
        <w:numPr>
          <w:ilvl w:val="0"/>
          <w:numId w:val="18"/>
        </w:numPr>
        <w:spacing w:lineRule="auto" w:line="276" w:before="0" w:after="160"/>
        <w:contextualSpacing/>
        <w:rPr>
          <w:rStyle w:val="Markedcontent"/>
          <w:rFonts w:cs="Calibri" w:cstheme="minorHAnsi"/>
        </w:rPr>
      </w:pPr>
      <w:r>
        <w:rPr>
          <w:rStyle w:val="Markedcontent"/>
          <w:rFonts w:cs="Calibri" w:cstheme="minorHAnsi"/>
        </w:rPr>
        <w:t>za pośrednictwem platformy internetowej poprzez publikację przedmiotu konsultacji - projektu dokumentu Strategii Terytorialnej Miejskiego Obszaru Funkcjonalnego Włocławka</w:t>
        <w:br/>
        <w:t xml:space="preserve"> i uzupełnienie interaktywnego formularza konsultacji społecznych on-line:</w:t>
      </w:r>
      <w:r>
        <w:rPr>
          <w:rFonts w:cs="Calibri" w:cstheme="minorHAnsi"/>
        </w:rPr>
        <w:t xml:space="preserve"> </w:t>
      </w:r>
      <w:hyperlink r:id="rId62">
        <w:r>
          <w:rPr>
            <w:rStyle w:val="Czeinternetowe"/>
            <w:rFonts w:cs="Calibri" w:cstheme="minorHAnsi"/>
          </w:rPr>
          <w:t>https://forms.gle/b3qvTKDWhQZd9EacA</w:t>
        </w:r>
      </w:hyperlink>
      <w:r>
        <w:rPr>
          <w:rFonts w:cs="Calibri" w:cstheme="minorHAnsi"/>
        </w:rPr>
        <w:t xml:space="preserve">, który </w:t>
      </w:r>
      <w:r>
        <w:rPr>
          <w:rStyle w:val="Markedcontent"/>
          <w:rFonts w:cs="Calibri" w:cstheme="minorHAnsi"/>
        </w:rPr>
        <w:t xml:space="preserve">umieszczony został na stronach internetowych Członków Stowarzyszenia, </w:t>
      </w:r>
    </w:p>
    <w:p>
      <w:pPr>
        <w:pStyle w:val="ListParagraph"/>
        <w:numPr>
          <w:ilvl w:val="0"/>
          <w:numId w:val="18"/>
        </w:numPr>
        <w:spacing w:lineRule="auto" w:line="276" w:before="0" w:after="160"/>
        <w:contextualSpacing/>
        <w:rPr>
          <w:rStyle w:val="Markedcontent"/>
          <w:rFonts w:cs="Calibri" w:cstheme="minorHAnsi"/>
        </w:rPr>
      </w:pPr>
      <w:r>
        <w:rPr>
          <w:rStyle w:val="Markedcontent"/>
          <w:rFonts w:cs="Calibri" w:cstheme="minorHAnsi"/>
        </w:rPr>
        <w:t>przekazanie przedstawicielom organizacji pozarządowych w formie elektronicznej informacji</w:t>
        <w:br/>
        <w:t xml:space="preserve"> o konsultacjach projektu Strategii.</w:t>
      </w:r>
    </w:p>
    <w:p>
      <w:pPr>
        <w:pStyle w:val="Normal"/>
        <w:spacing w:lineRule="auto" w:line="276"/>
        <w:ind w:left="360" w:hanging="0"/>
        <w:jc w:val="both"/>
        <w:rPr>
          <w:rFonts w:cs="Calibri" w:cstheme="minorHAnsi"/>
          <w:color w:val="000000" w:themeColor="text1"/>
        </w:rPr>
      </w:pPr>
      <w:r>
        <w:rPr>
          <w:rStyle w:val="Markedcontent"/>
          <w:rFonts w:cs="Calibri" w:cstheme="minorHAnsi"/>
          <w:color w:val="000000" w:themeColor="text1"/>
        </w:rPr>
        <w:t>Konsultacje społeczne przeprowadzone zostały w następujących formach:</w:t>
      </w:r>
    </w:p>
    <w:p>
      <w:pPr>
        <w:pStyle w:val="ListParagraph"/>
        <w:numPr>
          <w:ilvl w:val="0"/>
          <w:numId w:val="19"/>
        </w:numPr>
        <w:spacing w:lineRule="auto" w:line="276" w:before="0" w:after="160"/>
        <w:contextualSpacing/>
        <w:rPr>
          <w:rFonts w:eastAsia="Times New Roman" w:cs="Calibri" w:cstheme="minorHAnsi"/>
          <w:lang w:eastAsia="pl-PL"/>
        </w:rPr>
      </w:pPr>
      <w:r>
        <w:rPr>
          <w:rFonts w:eastAsia="Times New Roman" w:cs="Calibri" w:cstheme="minorHAnsi"/>
          <w:lang w:eastAsia="pl-PL"/>
        </w:rPr>
        <w:t xml:space="preserve">organizacja 15 spotkań konsultacyjnych o charakterze otwartym w siedzibach Gmin wchodzących w skład MOF Włocławka, </w:t>
      </w:r>
    </w:p>
    <w:p>
      <w:pPr>
        <w:pStyle w:val="ListParagraph"/>
        <w:numPr>
          <w:ilvl w:val="0"/>
          <w:numId w:val="19"/>
        </w:numPr>
        <w:spacing w:lineRule="auto" w:line="276" w:before="0" w:after="160"/>
        <w:contextualSpacing/>
        <w:rPr>
          <w:rStyle w:val="Markedcontent"/>
          <w:rFonts w:eastAsia="Times New Roman" w:cs="Calibri" w:cstheme="minorHAnsi"/>
          <w:lang w:eastAsia="pl-PL"/>
        </w:rPr>
      </w:pPr>
      <w:r>
        <w:rPr>
          <w:rStyle w:val="Markedcontent"/>
          <w:rFonts w:cs="Calibri" w:cstheme="minorHAnsi"/>
        </w:rPr>
        <w:t xml:space="preserve">za pośrednictwem platformy internetowej – pozyskiwanie uwag, wniosków i opinii za pomocą formularza konsultacyjnego lub na adres mailowy: biuro@wlof.wloclawek.eu, </w:t>
      </w:r>
    </w:p>
    <w:p>
      <w:pPr>
        <w:pStyle w:val="ListParagraph"/>
        <w:numPr>
          <w:ilvl w:val="0"/>
          <w:numId w:val="19"/>
        </w:numPr>
        <w:spacing w:lineRule="auto" w:line="276" w:before="0" w:after="160"/>
        <w:contextualSpacing/>
        <w:rPr>
          <w:rStyle w:val="Markedcontent"/>
          <w:rFonts w:cs="Calibri" w:cstheme="minorHAnsi"/>
        </w:rPr>
      </w:pPr>
      <w:r>
        <w:rPr>
          <w:rStyle w:val="Markedcontent"/>
          <w:rFonts w:cs="Calibri" w:cstheme="minorHAnsi"/>
        </w:rPr>
        <w:t xml:space="preserve">w ramach bezpośredniego kontaktu z zespołem projektowym Strategii </w:t>
      </w:r>
      <w:r>
        <w:rPr>
          <w:rFonts w:cs="Calibri" w:cstheme="minorHAnsi"/>
        </w:rPr>
        <w:t>Terytorialnej Miejskiego Obszaru Funkcjonalnego Włocławka</w:t>
      </w:r>
      <w:r>
        <w:rPr>
          <w:rStyle w:val="Markedcontent"/>
          <w:rFonts w:cs="Calibri" w:cstheme="minorHAnsi"/>
        </w:rPr>
        <w:t xml:space="preserve"> w siedzibie Biura Stowarzyszenia WŁOF, </w:t>
        <w:br/>
        <w:t>ul. Brzeska 15 we Włocławku z możliwością zgłoszenia uwag</w:t>
      </w:r>
      <w:r>
        <w:rPr>
          <w:rFonts w:cs="Calibri" w:cstheme="minorHAnsi"/>
        </w:rPr>
        <w:t xml:space="preserve"> </w:t>
      </w:r>
      <w:r>
        <w:rPr>
          <w:rStyle w:val="Markedcontent"/>
          <w:rFonts w:cs="Calibri" w:cstheme="minorHAnsi"/>
        </w:rPr>
        <w:t>i wniosków poprzez wypełnienie formularza konsultacyjnego w formie pisemnej oraz w formie ustnej,</w:t>
      </w:r>
    </w:p>
    <w:p>
      <w:pPr>
        <w:pStyle w:val="ListParagraph"/>
        <w:numPr>
          <w:ilvl w:val="0"/>
          <w:numId w:val="19"/>
        </w:numPr>
        <w:spacing w:lineRule="auto" w:line="276" w:before="0" w:after="160"/>
        <w:contextualSpacing/>
        <w:rPr>
          <w:rStyle w:val="Markedcontent"/>
          <w:rFonts w:cs="Calibri" w:cstheme="minorHAnsi"/>
        </w:rPr>
      </w:pPr>
      <w:r>
        <w:rPr>
          <w:rStyle w:val="Markedcontent"/>
          <w:rFonts w:cs="Calibri" w:cstheme="minorHAnsi"/>
        </w:rPr>
        <w:t xml:space="preserve">udostępnienie do wglądu wersji papierowej projektu dokumentu Strategii wraz </w:t>
        <w:br/>
        <w:t>z formularzem konsultacji społecznych w siedzibach wszystkich urzędów gmin MOF Włocławka, w siedzibie Starostwa Powiatowego oraz w Biurze Stowarzyszenia WŁOF,</w:t>
        <w:br/>
        <w:t xml:space="preserve"> w godzinach pracy jednostek. </w:t>
      </w:r>
    </w:p>
    <w:p>
      <w:pPr>
        <w:pStyle w:val="Normal"/>
        <w:spacing w:lineRule="auto" w:line="276"/>
        <w:jc w:val="both"/>
        <w:rPr>
          <w:rFonts w:cs="Calibri" w:cstheme="minorHAnsi"/>
        </w:rPr>
      </w:pPr>
      <w:r>
        <w:rPr>
          <w:rFonts w:cs="Calibri" w:cstheme="minorHAnsi"/>
          <w:color w:val="000000" w:themeColor="text1"/>
        </w:rPr>
        <w:t xml:space="preserve">W ramach konsultacji społecznych </w:t>
      </w:r>
      <w:r>
        <w:rPr>
          <w:rFonts w:cs="Calibri" w:cstheme="minorHAnsi"/>
        </w:rPr>
        <w:t>podjęto współpracę z Komitetem Doradczym ds. Strategii Terytorialnej Miejskiego Obszaru Funkcjonalnego Włocławka oraz z przedstawicielami organizacji pozarządowych. Ponadto we względu na specyfikę strategii terytorialnej, uwzględniającej projekty zgłoszone przez różne jednostki samorządu terytorialnego, w proces decyzyjny w zakresie rozstrzygnięcia uwag, wniosków i opinii dotyczących tych projektów, zostali włączeni przyszli Beneficjenci.</w:t>
      </w:r>
    </w:p>
    <w:p>
      <w:pPr>
        <w:pStyle w:val="Normal"/>
        <w:spacing w:lineRule="auto" w:line="276"/>
        <w:jc w:val="both"/>
        <w:rPr>
          <w:rFonts w:cs="Calibri" w:cstheme="minorHAnsi"/>
        </w:rPr>
      </w:pPr>
      <w:r>
        <w:rPr>
          <w:rFonts w:cs="Calibri" w:cstheme="minorHAnsi"/>
        </w:rPr>
        <w:t xml:space="preserve">Na końcowym etapie prac nad Strategią Terytorialną, dokument poddano opiniowaniu przez Komitet Doradczy. W dniu 05.06.2023r. odbyło się spotkanie Komitetu Doradczego, którego celem było opiniowanie projektu dokumentu Strategii Terytorialnej oraz określenie propozycji przeprowadzenia konsultacji społecznych. Komitet Doradczy nie zgłosił uwag do projektu Strategii. </w:t>
      </w:r>
    </w:p>
    <w:p>
      <w:pPr>
        <w:pStyle w:val="Normal"/>
        <w:spacing w:lineRule="auto" w:line="276"/>
        <w:jc w:val="both"/>
        <w:rPr>
          <w:rFonts w:cs="Calibri" w:cstheme="minorHAnsi"/>
        </w:rPr>
      </w:pPr>
      <w:r>
        <w:rPr>
          <w:rFonts w:cs="Calibri" w:cstheme="minorHAnsi"/>
        </w:rPr>
        <w:t xml:space="preserve">Konsultacje społeczne były prowadzone zgodnie z zasadą równości, w których </w:t>
      </w:r>
      <w:r>
        <w:rPr>
          <w:rStyle w:val="Markedcontent"/>
          <w:rFonts w:cs="Calibri" w:cstheme="minorHAnsi"/>
        </w:rPr>
        <w:t>wszyscy chętni mogli brać udział</w:t>
      </w:r>
      <w:r>
        <w:rPr>
          <w:rFonts w:cs="Calibri" w:cstheme="minorHAnsi"/>
        </w:rPr>
        <w:t xml:space="preserve"> </w:t>
      </w:r>
      <w:r>
        <w:rPr>
          <w:rStyle w:val="Markedcontent"/>
          <w:rFonts w:cs="Calibri" w:cstheme="minorHAnsi"/>
        </w:rPr>
        <w:t xml:space="preserve">na równych prawach, z uwzględnieniem </w:t>
      </w:r>
      <w:r>
        <w:rPr>
          <w:rFonts w:cs="Calibri" w:cstheme="minorHAnsi"/>
        </w:rPr>
        <w:t>zasady równości szans i niedyskryminacji oraz</w:t>
        <w:br/>
        <w:t xml:space="preserve">zasady równości kobiet i mężczyzn. </w:t>
      </w:r>
    </w:p>
    <w:p>
      <w:pPr>
        <w:pStyle w:val="Normal"/>
        <w:spacing w:lineRule="auto" w:line="276"/>
        <w:jc w:val="both"/>
        <w:rPr>
          <w:rFonts w:cs="Calibri" w:cstheme="minorHAnsi"/>
          <w:color w:val="000000" w:themeColor="text1"/>
        </w:rPr>
      </w:pPr>
      <w:r>
        <w:rPr>
          <w:rFonts w:eastAsia="Times New Roman" w:cs="Calibri" w:cstheme="minorHAnsi"/>
          <w:lang w:eastAsia="pl-PL"/>
        </w:rPr>
        <w:t xml:space="preserve">Konsultacje społeczne prowadzone były równocześnie we wszystkich </w:t>
      </w:r>
      <w:r>
        <w:rPr>
          <w:rFonts w:cs="Calibri" w:cstheme="minorHAnsi"/>
        </w:rPr>
        <w:t xml:space="preserve">jednostkach samorządu terytorialnego wchodzących w skład MOF Włocławka: </w:t>
      </w:r>
      <w:r>
        <w:rPr>
          <w:rFonts w:cs="Calibri" w:cstheme="minorHAnsi"/>
          <w:color w:val="000000" w:themeColor="text1"/>
        </w:rPr>
        <w:t>Gmina Miasto Włocławek, Powiat Włocławski, Gmina Miasto Kowal, Gmina Baruchowo, Gmina Boniewo, Gmina Brześć Kujawski, Gmina Choceń, Miasto i Gmina Chodecz, Gmina Fabianki, Gmina Izbica Kujawska, Gmina Kowal, Gmina Lubanie, Gmina Lubień Kujawski, Gmina Lubraniec, Gmina Włocławek.</w:t>
      </w:r>
    </w:p>
    <w:p>
      <w:pPr>
        <w:pStyle w:val="Normal"/>
        <w:spacing w:lineRule="auto" w:line="276"/>
        <w:jc w:val="both"/>
        <w:rPr>
          <w:rFonts w:cs="Calibri" w:cstheme="minorHAnsi"/>
          <w:b/>
          <w:bCs/>
          <w:sz w:val="20"/>
          <w:szCs w:val="20"/>
        </w:rPr>
      </w:pPr>
      <w:r>
        <w:rPr>
          <w:rFonts w:cs="Calibri" w:cstheme="minorHAnsi"/>
          <w:b/>
          <w:bCs/>
          <w:sz w:val="20"/>
          <w:szCs w:val="20"/>
        </w:rPr>
        <w:t>Tabela 29.  Harmonogram spotkań konsultacyjnych</w:t>
      </w:r>
    </w:p>
    <w:tbl>
      <w:tblPr>
        <w:tblStyle w:val="Tabela-Siatka"/>
        <w:tblW w:w="920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1"/>
        <w:gridCol w:w="3919"/>
        <w:gridCol w:w="3169"/>
      </w:tblGrid>
      <w:tr>
        <w:trPr/>
        <w:tc>
          <w:tcPr>
            <w:tcW w:w="2121" w:type="dxa"/>
            <w:tcBorders/>
            <w:shd w:color="auto" w:fill="B8CCE4" w:themeFill="accent1" w:themeFillTint="66" w:val="clear"/>
          </w:tcPr>
          <w:p>
            <w:pPr>
              <w:pStyle w:val="Normal"/>
              <w:widowControl/>
              <w:spacing w:lineRule="auto" w:line="276"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Data</w:t>
            </w:r>
          </w:p>
          <w:p>
            <w:pPr>
              <w:pStyle w:val="Normal"/>
              <w:widowControl/>
              <w:spacing w:lineRule="auto" w:line="276" w:before="0" w:after="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Godzina</w:t>
            </w:r>
          </w:p>
        </w:tc>
        <w:tc>
          <w:tcPr>
            <w:tcW w:w="3919" w:type="dxa"/>
            <w:tcBorders/>
            <w:shd w:color="auto" w:fill="B8CCE4" w:themeFill="accent1" w:themeFillTint="66" w:val="clear"/>
          </w:tcPr>
          <w:p>
            <w:pPr>
              <w:pStyle w:val="Normal"/>
              <w:widowControl/>
              <w:spacing w:lineRule="auto" w:line="276" w:before="0" w:after="16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Wydarzenie</w:t>
            </w:r>
          </w:p>
        </w:tc>
        <w:tc>
          <w:tcPr>
            <w:tcW w:w="3169" w:type="dxa"/>
            <w:tcBorders/>
            <w:shd w:color="auto" w:fill="B8CCE4" w:themeFill="accent1" w:themeFillTint="66" w:val="clear"/>
          </w:tcPr>
          <w:p>
            <w:pPr>
              <w:pStyle w:val="Normal"/>
              <w:widowControl/>
              <w:spacing w:lineRule="auto" w:line="276" w:before="0" w:after="160"/>
              <w:jc w:val="center"/>
              <w:rPr>
                <w:rFonts w:cs="Calibri" w:cstheme="minorHAnsi"/>
                <w:b/>
                <w:bCs/>
                <w:color w:val="000000" w:themeColor="text1"/>
              </w:rPr>
            </w:pPr>
            <w:r>
              <w:rPr>
                <w:rFonts w:cs="Calibri" w:cstheme="minorHAnsi"/>
                <w:b/>
                <w:bCs/>
                <w:color w:val="000000" w:themeColor="text1"/>
                <w:kern w:val="0"/>
                <w:sz w:val="22"/>
                <w:szCs w:val="22"/>
                <w:lang w:val="pl-PL" w:eastAsia="en-US" w:bidi="ar-SA"/>
              </w:rPr>
              <w:t>Organizator i miejsce spotkania</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24.07.2023r.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godz.10:30-12:30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Baruchowo</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Urząd Gminy Baruchowo</w:t>
            </w:r>
          </w:p>
          <w:p>
            <w:pPr>
              <w:pStyle w:val="Normal"/>
              <w:widowControl/>
              <w:spacing w:before="0" w:after="0"/>
              <w:jc w:val="left"/>
              <w:rPr>
                <w:rFonts w:cs="Calibri" w:cstheme="minorHAnsi"/>
                <w:color w:val="000000" w:themeColor="text1"/>
              </w:rPr>
            </w:pPr>
            <w:r>
              <w:rPr>
                <w:rStyle w:val="Lrzxr"/>
                <w:rFonts w:cs="Calibri" w:cstheme="minorHAnsi"/>
                <w:kern w:val="0"/>
                <w:sz w:val="22"/>
                <w:szCs w:val="22"/>
                <w:lang w:val="pl-PL" w:eastAsia="en-US" w:bidi="ar-SA"/>
              </w:rPr>
              <w:t>Baruchowo 54</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24.07.2023.</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godz.13:30 – 15:30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Kowal</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Urząd Gminy Kowal</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ul. Piwna 33</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25.07.2023r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godz.10:00-12:00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Fabianki</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Urząd Gminy Fabianki</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Fabianki 4</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25.07.2023r.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godz.16:00-18:00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Miasto i Gmina Chodecz</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Urząd Miasta i Gminy Chodecz</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ul. Kaliska 2</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26.07.2023r.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godz.13:00-15:00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Izbica Kujawska</w:t>
            </w:r>
          </w:p>
          <w:p>
            <w:pPr>
              <w:pStyle w:val="Normal"/>
              <w:widowControl/>
              <w:spacing w:before="0" w:after="0"/>
              <w:jc w:val="left"/>
              <w:rPr>
                <w:rStyle w:val="Strong"/>
                <w:rFonts w:cs="Calibri" w:cstheme="minorHAnsi"/>
                <w:b w:val="false"/>
                <w:bCs w:val="false"/>
              </w:rPr>
            </w:pPr>
            <w:r>
              <w:rPr>
                <w:rStyle w:val="Strong"/>
                <w:rFonts w:cs="Calibri" w:cstheme="minorHAnsi"/>
                <w:b w:val="false"/>
                <w:bCs w:val="false"/>
                <w:kern w:val="0"/>
                <w:sz w:val="22"/>
                <w:szCs w:val="22"/>
                <w:lang w:val="pl-PL" w:eastAsia="en-US" w:bidi="ar-SA"/>
              </w:rPr>
              <w:t>Urząd Miejski w Izbicy Kujawskiej</w:t>
            </w:r>
          </w:p>
          <w:p>
            <w:pPr>
              <w:pStyle w:val="Normal"/>
              <w:widowControl/>
              <w:spacing w:before="0" w:after="0"/>
              <w:jc w:val="left"/>
              <w:rPr>
                <w:rFonts w:cs="Calibri" w:cstheme="minorHAnsi"/>
                <w:color w:val="000000" w:themeColor="text1"/>
              </w:rPr>
            </w:pPr>
            <w:r>
              <w:rPr>
                <w:rFonts w:cs="Calibri" w:cstheme="minorHAnsi"/>
                <w:kern w:val="0"/>
                <w:sz w:val="22"/>
                <w:szCs w:val="22"/>
                <w:lang w:val="pl-PL" w:eastAsia="en-US" w:bidi="ar-SA"/>
              </w:rPr>
              <w:t>ul. Marszałka Piłsudskiego 32</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27.07.2023r.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godz.12:00-14:00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Choceń</w:t>
            </w:r>
          </w:p>
          <w:p>
            <w:pPr>
              <w:pStyle w:val="Normal"/>
              <w:widowControl/>
              <w:spacing w:before="0" w:after="0"/>
              <w:jc w:val="left"/>
              <w:rPr>
                <w:rFonts w:cs="Calibri" w:cstheme="minorHAnsi"/>
                <w:color w:val="000000" w:themeColor="text1"/>
              </w:rPr>
            </w:pPr>
            <w:r>
              <w:rPr>
                <w:rFonts w:cs="Calibri" w:cstheme="minorHAnsi"/>
                <w:kern w:val="0"/>
                <w:sz w:val="22"/>
                <w:szCs w:val="22"/>
                <w:lang w:val="pl-PL" w:eastAsia="en-US" w:bidi="ar-SA"/>
              </w:rPr>
              <w:t>Urząd Gminy w Choceniu</w:t>
            </w:r>
          </w:p>
          <w:p>
            <w:pPr>
              <w:pStyle w:val="Normal"/>
              <w:widowControl/>
              <w:spacing w:before="0" w:after="0"/>
              <w:jc w:val="left"/>
              <w:rPr>
                <w:rFonts w:cs="Calibri" w:cstheme="minorHAnsi"/>
                <w:color w:val="000000" w:themeColor="text1"/>
              </w:rPr>
            </w:pPr>
            <w:r>
              <w:rPr>
                <w:rStyle w:val="Lrzxr"/>
                <w:rFonts w:cs="Calibri" w:cstheme="minorHAnsi"/>
                <w:kern w:val="0"/>
                <w:sz w:val="22"/>
                <w:szCs w:val="22"/>
                <w:lang w:val="pl-PL" w:eastAsia="en-US" w:bidi="ar-SA"/>
              </w:rPr>
              <w:t>ul. Sikorskiego 12</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28.07.2023r.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godz.11:00-13:00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Boniewo</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Urząd Gminy Boniewo</w:t>
            </w:r>
          </w:p>
          <w:p>
            <w:pPr>
              <w:pStyle w:val="Normal"/>
              <w:widowControl/>
              <w:spacing w:before="0" w:after="0"/>
              <w:jc w:val="left"/>
              <w:rPr>
                <w:rStyle w:val="Lrzxr"/>
                <w:rFonts w:cs="Calibri" w:cstheme="minorHAnsi"/>
              </w:rPr>
            </w:pPr>
            <w:r>
              <w:rPr>
                <w:rFonts w:cs="Calibri" w:cstheme="minorHAnsi"/>
                <w:color w:val="000000" w:themeColor="text1"/>
                <w:kern w:val="0"/>
                <w:sz w:val="22"/>
                <w:szCs w:val="22"/>
                <w:lang w:val="pl-PL" w:eastAsia="en-US" w:bidi="ar-SA"/>
              </w:rPr>
              <w:t xml:space="preserve">ul. </w:t>
            </w:r>
            <w:r>
              <w:rPr>
                <w:rStyle w:val="Lrzxr"/>
                <w:rFonts w:cs="Calibri" w:cstheme="minorHAnsi"/>
                <w:kern w:val="0"/>
                <w:sz w:val="22"/>
                <w:szCs w:val="22"/>
                <w:lang w:val="pl-PL" w:eastAsia="en-US" w:bidi="ar-SA"/>
              </w:rPr>
              <w:t>Szkolna 28</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31.07.2023r.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godz.12:00-14:00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Miasto Kowal</w:t>
            </w:r>
          </w:p>
          <w:p>
            <w:pPr>
              <w:pStyle w:val="Normal"/>
              <w:widowControl/>
              <w:spacing w:before="0" w:after="0"/>
              <w:jc w:val="left"/>
              <w:rPr>
                <w:rFonts w:cs="Calibri" w:cstheme="minorHAnsi"/>
                <w:color w:val="000000" w:themeColor="text1"/>
              </w:rPr>
            </w:pPr>
            <w:r>
              <w:rPr>
                <w:rFonts w:cs="Calibri" w:cstheme="minorHAnsi"/>
                <w:kern w:val="0"/>
                <w:sz w:val="22"/>
                <w:szCs w:val="22"/>
                <w:lang w:val="pl-PL" w:eastAsia="en-US" w:bidi="ar-SA"/>
              </w:rPr>
              <w:t>Urząd Miasta Kowal</w:t>
            </w:r>
          </w:p>
          <w:p>
            <w:pPr>
              <w:pStyle w:val="Normal"/>
              <w:widowControl/>
              <w:spacing w:before="0" w:after="0"/>
              <w:jc w:val="left"/>
              <w:rPr>
                <w:rStyle w:val="Lrzxr"/>
                <w:rFonts w:cs="Calibri" w:cstheme="minorHAnsi"/>
              </w:rPr>
            </w:pPr>
            <w:r>
              <w:rPr>
                <w:rFonts w:cs="Calibri" w:cstheme="minorHAnsi"/>
                <w:color w:val="000000" w:themeColor="text1"/>
                <w:kern w:val="0"/>
                <w:sz w:val="22"/>
                <w:szCs w:val="22"/>
                <w:lang w:val="pl-PL" w:eastAsia="en-US" w:bidi="ar-SA"/>
              </w:rPr>
              <w:t>ul.</w:t>
            </w:r>
            <w:r>
              <w:rPr>
                <w:rFonts w:cs="Calibri" w:cstheme="minorHAnsi"/>
                <w:kern w:val="0"/>
                <w:sz w:val="22"/>
                <w:szCs w:val="22"/>
                <w:lang w:val="pl-PL" w:eastAsia="en-US" w:bidi="ar-SA"/>
              </w:rPr>
              <w:t xml:space="preserve"> </w:t>
            </w:r>
            <w:r>
              <w:rPr>
                <w:rStyle w:val="Lrzxr"/>
                <w:rFonts w:cs="Calibri" w:cstheme="minorHAnsi"/>
                <w:kern w:val="0"/>
                <w:sz w:val="22"/>
                <w:szCs w:val="22"/>
                <w:lang w:val="pl-PL" w:eastAsia="en-US" w:bidi="ar-SA"/>
              </w:rPr>
              <w:t>Piwna 24</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01.08.2023r.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godz.14:00-16:00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Włocławek</w:t>
            </w:r>
          </w:p>
          <w:p>
            <w:pPr>
              <w:pStyle w:val="Normal"/>
              <w:widowControl/>
              <w:spacing w:before="0" w:after="0"/>
              <w:jc w:val="left"/>
              <w:rPr>
                <w:rFonts w:cs="Calibri" w:cstheme="minorHAnsi"/>
                <w:color w:val="000000" w:themeColor="text1"/>
              </w:rPr>
            </w:pPr>
            <w:r>
              <w:rPr>
                <w:rStyle w:val="Strong"/>
                <w:rFonts w:cs="Calibri" w:cstheme="minorHAnsi"/>
                <w:b w:val="false"/>
                <w:bCs w:val="false"/>
                <w:kern w:val="0"/>
                <w:sz w:val="22"/>
                <w:szCs w:val="22"/>
                <w:lang w:val="pl-PL" w:eastAsia="en-US" w:bidi="ar-SA"/>
              </w:rPr>
              <w:t>Urząd Gminy Włocławek</w:t>
            </w:r>
            <w:r>
              <w:rPr>
                <w:rFonts w:cs="Calibri" w:cstheme="minorHAnsi"/>
                <w:kern w:val="0"/>
                <w:sz w:val="22"/>
                <w:szCs w:val="22"/>
                <w:lang w:val="pl-PL" w:eastAsia="en-US" w:bidi="ar-SA"/>
              </w:rPr>
              <w:br/>
            </w:r>
            <w:r>
              <w:rPr>
                <w:rStyle w:val="Strong"/>
                <w:rFonts w:cs="Calibri" w:cstheme="minorHAnsi"/>
                <w:b w:val="false"/>
                <w:bCs w:val="false"/>
                <w:kern w:val="0"/>
                <w:sz w:val="22"/>
                <w:szCs w:val="22"/>
                <w:lang w:val="pl-PL" w:eastAsia="en-US" w:bidi="ar-SA"/>
              </w:rPr>
              <w:t>ul. Królewiecka 7</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04.08.2023r.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godz.12:00-14:00</w:t>
            </w:r>
          </w:p>
        </w:tc>
        <w:tc>
          <w:tcPr>
            <w:tcW w:w="391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Lubień Kujawski</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D</w:t>
            </w:r>
            <w:r>
              <w:rPr>
                <w:rFonts w:cs=""/>
                <w:color w:val="000000" w:themeColor="text1"/>
                <w:kern w:val="0"/>
                <w:sz w:val="22"/>
                <w:szCs w:val="22"/>
                <w:lang w:val="pl-PL" w:eastAsia="en-US" w:bidi="ar-SA"/>
              </w:rPr>
              <w:t>om Seniora</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ul. 1</w:t>
            </w:r>
            <w:r>
              <w:rPr>
                <w:rFonts w:cs=""/>
                <w:color w:val="000000" w:themeColor="text1"/>
                <w:kern w:val="0"/>
                <w:sz w:val="22"/>
                <w:szCs w:val="22"/>
                <w:lang w:val="pl-PL" w:eastAsia="en-US" w:bidi="ar-SA"/>
              </w:rPr>
              <w:t xml:space="preserve"> Maja 44</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07.08.2023r.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godz.12:00—14:00</w:t>
            </w:r>
          </w:p>
        </w:tc>
        <w:tc>
          <w:tcPr>
            <w:tcW w:w="3919" w:type="dxa"/>
            <w:tcBorders/>
          </w:tcPr>
          <w:p>
            <w:pPr>
              <w:pStyle w:val="Normal"/>
              <w:widowControl/>
              <w:spacing w:before="0" w:after="0"/>
              <w:jc w:val="both"/>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Brześć Kujawski</w:t>
            </w:r>
          </w:p>
          <w:p>
            <w:pPr>
              <w:pStyle w:val="Normal"/>
              <w:widowControl/>
              <w:spacing w:before="0" w:after="0"/>
              <w:jc w:val="left"/>
              <w:rPr>
                <w:rFonts w:cs="Calibri" w:cstheme="minorHAnsi"/>
                <w:color w:val="000000" w:themeColor="text1"/>
              </w:rPr>
            </w:pPr>
            <w:r>
              <w:rPr>
                <w:rFonts w:eastAsia="Times New Roman" w:cs="Calibri" w:cstheme="minorHAnsi"/>
                <w:color w:val="000000" w:themeColor="text1"/>
                <w:kern w:val="0"/>
                <w:sz w:val="22"/>
                <w:szCs w:val="22"/>
                <w:lang w:val="pl-PL" w:eastAsia="pl-PL" w:bidi="ar-SA"/>
              </w:rPr>
              <w:t>Urząd Miejski w Brześciu Kujawskim</w:t>
            </w:r>
          </w:p>
          <w:p>
            <w:pPr>
              <w:pStyle w:val="Normal"/>
              <w:widowControl/>
              <w:spacing w:before="0" w:after="0"/>
              <w:jc w:val="left"/>
              <w:rPr>
                <w:rFonts w:cs="Calibri" w:cstheme="minorHAnsi"/>
                <w:color w:val="000000" w:themeColor="text1"/>
              </w:rPr>
            </w:pPr>
            <w:r>
              <w:rPr>
                <w:rStyle w:val="Lrzxr"/>
                <w:rFonts w:cs="Calibri" w:cstheme="minorHAnsi"/>
                <w:color w:val="000000" w:themeColor="text1"/>
                <w:kern w:val="0"/>
                <w:sz w:val="22"/>
                <w:szCs w:val="22"/>
                <w:lang w:val="pl-PL" w:eastAsia="en-US" w:bidi="ar-SA"/>
              </w:rPr>
              <w:t>ul. Plac Władysława Łokietka 1</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08.08.2023r.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godz.13:00-15:00</w:t>
            </w:r>
          </w:p>
        </w:tc>
        <w:tc>
          <w:tcPr>
            <w:tcW w:w="3919" w:type="dxa"/>
            <w:tcBorders/>
          </w:tcPr>
          <w:p>
            <w:pPr>
              <w:pStyle w:val="Normal"/>
              <w:widowControl/>
              <w:spacing w:before="0" w:after="0"/>
              <w:jc w:val="both"/>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Lubraniec</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Urząd Miejski w Lubrańcu</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ul. Brzeska 29</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08.08.2023r.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godz.17:00-19:00</w:t>
            </w:r>
          </w:p>
        </w:tc>
        <w:tc>
          <w:tcPr>
            <w:tcW w:w="3919" w:type="dxa"/>
            <w:tcBorders/>
          </w:tcPr>
          <w:p>
            <w:pPr>
              <w:pStyle w:val="Normal"/>
              <w:widowControl/>
              <w:spacing w:before="0" w:after="0"/>
              <w:jc w:val="both"/>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Miasto Włocławek</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 xml:space="preserve">Urząd Miasta </w:t>
            </w:r>
            <w:r>
              <w:rPr>
                <w:rFonts w:cs="Calibri" w:cstheme="minorHAnsi"/>
                <w:kern w:val="0"/>
                <w:sz w:val="22"/>
                <w:szCs w:val="22"/>
                <w:lang w:val="pl-PL" w:eastAsia="en-US" w:bidi="ar-SA"/>
              </w:rPr>
              <w:t>Włocławek</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ul. Zielony Rynek 11/13</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09.08.2023r.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godz.13:00-15:00</w:t>
            </w:r>
          </w:p>
        </w:tc>
        <w:tc>
          <w:tcPr>
            <w:tcW w:w="3919" w:type="dxa"/>
            <w:tcBorders/>
          </w:tcPr>
          <w:p>
            <w:pPr>
              <w:pStyle w:val="Normal"/>
              <w:widowControl/>
              <w:spacing w:before="0" w:after="0"/>
              <w:jc w:val="both"/>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Gmina Lubanie</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Urząd Gminy Lubanie</w:t>
            </w:r>
          </w:p>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Lubanie 28a</w:t>
            </w:r>
          </w:p>
        </w:tc>
      </w:tr>
      <w:tr>
        <w:trPr/>
        <w:tc>
          <w:tcPr>
            <w:tcW w:w="2121" w:type="dxa"/>
            <w:tcBorders/>
          </w:tcPr>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10.08.2023r.</w:t>
            </w:r>
          </w:p>
          <w:p>
            <w:pPr>
              <w:pStyle w:val="Normal"/>
              <w:widowControl/>
              <w:spacing w:lineRule="auto" w:line="276" w:before="0" w:after="0"/>
              <w:jc w:val="center"/>
              <w:rPr>
                <w:rFonts w:cs="Calibri" w:cstheme="minorHAnsi"/>
                <w:color w:val="000000" w:themeColor="text1"/>
              </w:rPr>
            </w:pPr>
            <w:r>
              <w:rPr>
                <w:rFonts w:cs="Calibri" w:cstheme="minorHAnsi"/>
                <w:color w:val="000000" w:themeColor="text1"/>
                <w:kern w:val="0"/>
                <w:sz w:val="22"/>
                <w:szCs w:val="22"/>
                <w:lang w:val="pl-PL" w:eastAsia="en-US" w:bidi="ar-SA"/>
              </w:rPr>
              <w:t>godz.11:00-13:00</w:t>
            </w:r>
          </w:p>
        </w:tc>
        <w:tc>
          <w:tcPr>
            <w:tcW w:w="3919" w:type="dxa"/>
            <w:tcBorders/>
          </w:tcPr>
          <w:p>
            <w:pPr>
              <w:pStyle w:val="Normal"/>
              <w:widowControl/>
              <w:spacing w:before="0" w:after="0"/>
              <w:jc w:val="both"/>
              <w:rPr>
                <w:rFonts w:cs="Calibri" w:cstheme="minorHAnsi"/>
                <w:color w:val="000000" w:themeColor="text1"/>
              </w:rPr>
            </w:pPr>
            <w:r>
              <w:rPr>
                <w:rFonts w:cs="Calibri" w:cstheme="minorHAnsi"/>
                <w:color w:val="000000" w:themeColor="text1"/>
                <w:kern w:val="0"/>
                <w:sz w:val="22"/>
                <w:szCs w:val="22"/>
                <w:lang w:val="pl-PL" w:eastAsia="en-US" w:bidi="ar-SA"/>
              </w:rPr>
              <w:t>Spotkanie konsultacyjne z mieszkańcami MOF Włocławka</w:t>
            </w:r>
          </w:p>
        </w:tc>
        <w:tc>
          <w:tcPr>
            <w:tcW w:w="3169" w:type="dxa"/>
            <w:tcBorders/>
          </w:tcPr>
          <w:p>
            <w:pPr>
              <w:pStyle w:val="Normal"/>
              <w:widowControl/>
              <w:spacing w:before="0" w:after="0"/>
              <w:jc w:val="left"/>
              <w:rPr>
                <w:rFonts w:cs="Calibri" w:cstheme="minorHAnsi"/>
                <w:color w:val="000000" w:themeColor="text1"/>
              </w:rPr>
            </w:pPr>
            <w:r>
              <w:rPr>
                <w:rFonts w:cs="Calibri" w:cstheme="minorHAnsi"/>
                <w:color w:val="000000" w:themeColor="text1"/>
                <w:kern w:val="0"/>
                <w:sz w:val="22"/>
                <w:szCs w:val="22"/>
                <w:lang w:val="pl-PL" w:eastAsia="en-US" w:bidi="ar-SA"/>
              </w:rPr>
              <w:t>Powiat Włocławski</w:t>
            </w:r>
          </w:p>
          <w:p>
            <w:pPr>
              <w:pStyle w:val="Normal"/>
              <w:widowControl/>
              <w:spacing w:before="0" w:after="0"/>
              <w:jc w:val="left"/>
              <w:rPr>
                <w:rFonts w:eastAsia="Times New Roman" w:cs="Calibri" w:cstheme="minorHAnsi"/>
                <w:lang w:eastAsia="pl-PL"/>
              </w:rPr>
            </w:pPr>
            <w:r>
              <w:rPr>
                <w:rFonts w:eastAsia="Times New Roman" w:cs="Calibri" w:cstheme="minorHAnsi"/>
                <w:kern w:val="0"/>
                <w:sz w:val="22"/>
                <w:szCs w:val="22"/>
                <w:lang w:val="pl-PL" w:eastAsia="pl-PL" w:bidi="ar-SA"/>
              </w:rPr>
              <w:t xml:space="preserve">Starostwo Powiatowe </w:t>
              <w:br/>
              <w:t xml:space="preserve">we Włocławku </w:t>
            </w:r>
          </w:p>
          <w:p>
            <w:pPr>
              <w:pStyle w:val="Normal"/>
              <w:widowControl/>
              <w:spacing w:before="0" w:after="0"/>
              <w:jc w:val="left"/>
              <w:rPr>
                <w:rFonts w:cs="Calibri" w:cstheme="minorHAnsi"/>
                <w:color w:val="000000" w:themeColor="text1"/>
              </w:rPr>
            </w:pPr>
            <w:r>
              <w:rPr>
                <w:rFonts w:eastAsia="Times New Roman" w:cs="Calibri" w:cstheme="minorHAnsi"/>
                <w:kern w:val="0"/>
                <w:sz w:val="22"/>
                <w:szCs w:val="22"/>
                <w:lang w:val="pl-PL" w:eastAsia="pl-PL" w:bidi="ar-SA"/>
              </w:rPr>
              <w:t>ul. Cyganka 28</w:t>
            </w:r>
          </w:p>
        </w:tc>
      </w:tr>
    </w:tbl>
    <w:p>
      <w:pPr>
        <w:pStyle w:val="Normal"/>
        <w:spacing w:lineRule="auto" w:line="276"/>
        <w:jc w:val="both"/>
        <w:rPr>
          <w:rFonts w:cs="Calibri" w:cstheme="minorHAnsi"/>
          <w:color w:val="000000" w:themeColor="text1"/>
        </w:rPr>
      </w:pPr>
      <w:r>
        <w:rPr>
          <w:rFonts w:cs="Calibri" w:cstheme="minorHAnsi"/>
          <w:color w:val="000000" w:themeColor="text1"/>
        </w:rPr>
        <w:t xml:space="preserve"> </w:t>
      </w:r>
    </w:p>
    <w:p>
      <w:pPr>
        <w:pStyle w:val="Normal"/>
        <w:spacing w:lineRule="auto" w:line="276"/>
        <w:jc w:val="both"/>
        <w:rPr>
          <w:rFonts w:cs="Calibri" w:cstheme="minorHAnsi"/>
          <w:color w:val="000000" w:themeColor="text1"/>
        </w:rPr>
      </w:pPr>
      <w:r>
        <w:rPr>
          <w:rFonts w:cs="Calibri" w:cstheme="minorHAnsi"/>
          <w:color w:val="000000" w:themeColor="text1"/>
        </w:rPr>
        <w:t xml:space="preserve">Po zakończonym procesie konsultacji społecznych zostało przygotowane zestawienie uwag </w:t>
        <w:br/>
        <w:t xml:space="preserve">z przeprowadzonych konsultacji oraz sprawozdanie z przebiegu i wyników konsultacji społecznych. Sprawozdanie podsumowujące przebieg, sposób uwzględnienia uwag oraz wyniki konsultacji społecznych zostało formalnie przyjęte przez Zarząd Stowarzyszenia WŁOF – Zintegrowane Inwestycje Terytorialne Miejskiego Obszaru Funkcjonalnego Włocławka oraz zostało opublikowane na stronie internetowej Stowarzyszenia WŁOF (strona Partnera) oraz udostępnione w formie elektronicznej </w:t>
        <w:br/>
        <w:t xml:space="preserve">na stronach internetowych wszystkich jednostek samorządu terytorialnego MOF Włocławka.    </w:t>
      </w:r>
    </w:p>
    <w:p>
      <w:pPr>
        <w:pStyle w:val="Normal"/>
        <w:rPr>
          <w:u w:val="single"/>
        </w:rPr>
      </w:pPr>
      <w:r>
        <w:rPr>
          <w:u w:val="single"/>
        </w:rPr>
      </w:r>
    </w:p>
    <w:p>
      <w:pPr>
        <w:pStyle w:val="Normal"/>
        <w:rPr>
          <w:u w:val="single"/>
        </w:rPr>
      </w:pPr>
      <w:r>
        <w:rPr>
          <w:u w:val="single"/>
        </w:rPr>
        <w:t>Strategiczna ocena oddziaływania na środowisko i konsultacje społeczne</w:t>
      </w:r>
    </w:p>
    <w:p>
      <w:pPr>
        <w:pStyle w:val="Normal"/>
        <w:spacing w:lineRule="auto" w:line="276" w:before="0" w:after="0"/>
        <w:jc w:val="both"/>
        <w:rPr>
          <w:rFonts w:cs="Calibri" w:cstheme="minorHAnsi"/>
          <w:iCs/>
        </w:rPr>
      </w:pPr>
      <w:r>
        <w:rPr>
          <w:rFonts w:cs="Calibri" w:cstheme="minorHAnsi"/>
        </w:rPr>
        <w:t xml:space="preserve">Po zakończonych konsultacjach społecznych projektu Strategii Terytorialnej Miejskiego Obszaru Funkcjonalnego Włocławka w dniu 18.08.2023r. do Regionalnego Dyrektora Ochrony Środowiska </w:t>
        <w:br/>
        <w:t xml:space="preserve">w Bydgoszczy oraz do </w:t>
      </w:r>
      <w:r>
        <w:rPr>
          <w:rFonts w:cs="Calibri" w:cstheme="minorHAnsi"/>
          <w:bCs/>
        </w:rPr>
        <w:t xml:space="preserve">Państwowego Wojewódzkiego Inspektora Sanitarnego w Bydgoszczy zostało wystosowane pismo z prośbą o </w:t>
      </w:r>
      <w:r>
        <w:rPr>
          <w:rFonts w:cs="Calibri" w:cstheme="minorHAnsi"/>
        </w:rPr>
        <w:t xml:space="preserve">uzgodnienie, iż w przypadku projektu dokumentu Strategii Terytorialnej </w:t>
      </w:r>
      <w:r>
        <w:rPr>
          <w:rFonts w:cs="Calibri" w:cstheme="minorHAnsi"/>
          <w:iCs/>
        </w:rPr>
        <w:t xml:space="preserve">Miejskiego Obszaru Funkcjonalnego Włocławka nie jest wymagane przeprowadzenie strategicznej oceny oddziaływania na środowisko </w:t>
      </w:r>
      <w:r>
        <w:rPr>
          <w:rFonts w:cs="Calibri" w:cstheme="minorHAnsi"/>
          <w:bCs/>
        </w:rPr>
        <w:t xml:space="preserve">dla projektu dokumentu </w:t>
      </w:r>
      <w:r>
        <w:rPr>
          <w:rFonts w:cs="Calibri" w:cstheme="minorHAnsi"/>
          <w:iCs/>
        </w:rPr>
        <w:t xml:space="preserve">Strategii Terytorialnej.  </w:t>
      </w:r>
    </w:p>
    <w:p>
      <w:pPr>
        <w:pStyle w:val="Normal"/>
        <w:spacing w:lineRule="auto" w:line="276" w:before="0" w:after="0"/>
        <w:jc w:val="both"/>
        <w:rPr>
          <w:rFonts w:cs="Calibri" w:cstheme="minorHAnsi"/>
          <w:iCs/>
        </w:rPr>
      </w:pPr>
      <w:r>
        <w:rPr>
          <w:rFonts w:cs="Calibri" w:cstheme="minorHAnsi"/>
          <w:bCs/>
        </w:rPr>
        <w:t xml:space="preserve">Pismem z dnia 01.09.2023r. </w:t>
      </w:r>
      <w:r>
        <w:rPr>
          <w:rFonts w:cs="Calibri" w:cstheme="minorHAnsi"/>
        </w:rPr>
        <w:t xml:space="preserve">Regionalny Dyrektor Ochrony Środowiska w Bydgoszczy stwierdził brak możliwości dostąpienia od przeprowadzenia strategicznej oceny oddziaływania na środowisko dla projektu Strategii Terytorialnej </w:t>
      </w:r>
      <w:r>
        <w:rPr>
          <w:rFonts w:cs="Calibri" w:cstheme="minorHAnsi"/>
          <w:iCs/>
        </w:rPr>
        <w:t>Miejskiego Obszaru Funkcjonalnego Włocławka i jednocześnie na podstawie art. 53 ust. 2 pkt 2 ustawy uouioś uzgodnił zakres i stopień szczegółowości informacji wymaganych w prognozie oddziaływania na środowisko dla projektu Strategii.</w:t>
      </w:r>
    </w:p>
    <w:p>
      <w:pPr>
        <w:pStyle w:val="Normal"/>
        <w:spacing w:lineRule="auto" w:line="276" w:before="0" w:after="0"/>
        <w:jc w:val="both"/>
        <w:rPr>
          <w:rFonts w:cs="Calibri" w:cstheme="minorHAnsi"/>
          <w:iCs/>
        </w:rPr>
      </w:pPr>
      <w:r>
        <w:rPr>
          <w:rFonts w:cs="Calibri" w:cstheme="minorHAnsi"/>
          <w:iCs/>
        </w:rPr>
        <w:t xml:space="preserve">Pismem z dnia 04.09.2023r. Państwowy Inspektorat Sanitarny Bydgoszczy wezwał do uzupełnienia złożonego wniosku w zakresie wskazania konkretnie stopnia, w jakim dokument Strategii ustala ramy dla późniejszej realizacji przedsięwzięć, w odniesieniu do usytuowania, rodzaju i skali tych przedsięwzięć. Wniosek z uzupełnieniami w powyższym zakresie został uzupełniony i przekazany </w:t>
        <w:br/>
        <w:t>w dniu 13.09.2023r. Pismem z dnia 21.09.2023r. Państwowy Inspektorat Sanitarny Bydgoszczy poinformował, iż w świetle obowiązujących przepisów dokument Strategii ni wymaga opinii organu państwowej Inspekcji sanitarnej.</w:t>
      </w:r>
    </w:p>
    <w:p>
      <w:pPr>
        <w:pStyle w:val="Normal"/>
        <w:spacing w:lineRule="auto" w:line="276" w:before="0" w:after="0"/>
        <w:jc w:val="both"/>
        <w:rPr>
          <w:rFonts w:cs="Calibri" w:cstheme="minorHAnsi"/>
          <w:bCs/>
        </w:rPr>
      </w:pPr>
      <w:r>
        <w:rPr>
          <w:rFonts w:cs="Calibri" w:cstheme="minorHAnsi"/>
          <w:bCs/>
        </w:rPr>
      </w:r>
    </w:p>
    <w:p>
      <w:pPr>
        <w:pStyle w:val="Normal"/>
        <w:spacing w:lineRule="auto" w:line="276"/>
        <w:jc w:val="both"/>
        <w:rPr>
          <w:rFonts w:cs="Calibri" w:cstheme="minorHAnsi"/>
        </w:rPr>
      </w:pPr>
      <w:bookmarkStart w:id="232" w:name="_Hlk149042408"/>
      <w:r>
        <w:rPr>
          <w:rStyle w:val="Markedcontent"/>
          <w:rFonts w:cs="Calibri" w:cstheme="minorHAnsi"/>
          <w:color w:val="000000" w:themeColor="text1"/>
        </w:rPr>
        <w:t xml:space="preserve">W dniu 07.11.2023r.  Zarząd Stowarzyszenia WŁOF – Zintegrowane Inwestycje Terytorialne Miejskiego Obszaru Funkcjonalnego Włocławka przyjął uchwałę w sprawie </w:t>
      </w:r>
      <w:r>
        <w:rPr>
          <w:rFonts w:cs="Calibri" w:cstheme="minorHAnsi"/>
        </w:rPr>
        <w:t xml:space="preserve">przyjęcia i skierowania </w:t>
        <w:br/>
        <w:t xml:space="preserve">do konsultacji projektu Prognozy oddziaływania na środowisko dla projektu Strategii Terytorialnej Miejskiego Obszaru Funkcjonalnego Włocławka. </w:t>
      </w:r>
    </w:p>
    <w:p>
      <w:pPr>
        <w:pStyle w:val="Normal"/>
        <w:spacing w:lineRule="auto" w:line="276"/>
        <w:jc w:val="both"/>
        <w:rPr>
          <w:rStyle w:val="Markedcontent"/>
          <w:rFonts w:cs="Calibri" w:cstheme="minorHAnsi"/>
          <w:color w:val="000000" w:themeColor="text1"/>
        </w:rPr>
      </w:pPr>
      <w:r>
        <w:rPr>
          <w:rFonts w:cs="Calibri" w:cstheme="minorHAnsi"/>
        </w:rPr>
        <w:t xml:space="preserve">Zapoznanie się z treścią projektu Prognozy oddziaływania na środowisko dla projektu Strategii Terytorialnej Miejskiego Obszaru Funkcjonalnego Włocławka oraz składanie uwag i opinii było możliwe w dniach od 8 do 29 listopada 2023r. (tj. przez 21 dni). </w:t>
      </w:r>
      <w:r>
        <w:rPr>
          <w:rStyle w:val="Markedcontent"/>
          <w:rFonts w:cs="Calibri" w:cstheme="minorHAnsi"/>
          <w:color w:val="000000" w:themeColor="text1"/>
        </w:rPr>
        <w:t xml:space="preserve"> </w:t>
      </w:r>
      <w:bookmarkEnd w:id="232"/>
    </w:p>
    <w:p>
      <w:pPr>
        <w:pStyle w:val="Default"/>
        <w:spacing w:lineRule="auto" w:line="276" w:before="0" w:after="139"/>
        <w:jc w:val="both"/>
        <w:rPr>
          <w:rStyle w:val="Markedcontent"/>
          <w:rFonts w:ascii="Calibri" w:hAnsi="Calibri" w:cs="Calibri" w:asciiTheme="minorHAnsi" w:cstheme="minorHAnsi" w:hAnsiTheme="minorHAnsi"/>
          <w:sz w:val="22"/>
          <w:szCs w:val="22"/>
        </w:rPr>
      </w:pPr>
      <w:r>
        <w:rPr>
          <w:rStyle w:val="Markedcontent"/>
          <w:rFonts w:cs="Calibri" w:ascii="Calibri" w:hAnsi="Calibri" w:asciiTheme="minorHAnsi" w:cstheme="minorHAnsi" w:hAnsiTheme="minorHAnsi"/>
          <w:color w:val="000000" w:themeColor="text1"/>
          <w:sz w:val="22"/>
          <w:szCs w:val="22"/>
        </w:rPr>
        <w:t xml:space="preserve">Przyjęto następujący sposób informowania interesariuszy o konsultacjach społecznych: </w:t>
      </w:r>
    </w:p>
    <w:p>
      <w:pPr>
        <w:pStyle w:val="ListParagraph"/>
        <w:numPr>
          <w:ilvl w:val="0"/>
          <w:numId w:val="42"/>
        </w:numPr>
        <w:spacing w:lineRule="auto" w:line="276" w:before="0" w:after="160"/>
        <w:contextualSpacing/>
        <w:rPr>
          <w:rStyle w:val="Markedcontent"/>
          <w:rFonts w:cs="Calibri" w:cstheme="minorHAnsi"/>
        </w:rPr>
      </w:pPr>
      <w:r>
        <w:rPr>
          <w:rStyle w:val="Markedcontent"/>
          <w:rFonts w:cs="Calibri" w:cstheme="minorHAnsi"/>
        </w:rPr>
        <w:t xml:space="preserve">zamieszczenie na oficjalnych stronach internetowych jednostek samorządu terytorialnego MOF Włocławka informacji o odbywających się konsultacjach społecznych oraz na stronie internetowej Stowarzyszenia WŁOF: </w:t>
      </w:r>
      <w:hyperlink r:id="rId63">
        <w:r>
          <w:rPr>
            <w:rStyle w:val="Czeinternetowe"/>
            <w:rFonts w:cs="Calibri" w:cstheme="minorHAnsi"/>
          </w:rPr>
          <w:t>https://wlof.wloclawek.eu/</w:t>
        </w:r>
      </w:hyperlink>
      <w:r>
        <w:rPr>
          <w:rStyle w:val="Markedcontent"/>
          <w:rFonts w:cs="Calibri" w:cstheme="minorHAnsi"/>
        </w:rPr>
        <w:t xml:space="preserve"> ,  </w:t>
      </w:r>
    </w:p>
    <w:p>
      <w:pPr>
        <w:pStyle w:val="ListParagraph"/>
        <w:numPr>
          <w:ilvl w:val="0"/>
          <w:numId w:val="42"/>
        </w:numPr>
        <w:spacing w:lineRule="auto" w:line="276" w:before="0" w:after="160"/>
        <w:contextualSpacing/>
        <w:rPr>
          <w:rStyle w:val="Markedcontent"/>
          <w:rFonts w:cs="Calibri" w:cstheme="minorHAnsi"/>
        </w:rPr>
      </w:pPr>
      <w:r>
        <w:rPr>
          <w:rStyle w:val="Markedcontent"/>
          <w:rFonts w:cs="Calibri" w:cstheme="minorHAnsi"/>
        </w:rPr>
        <w:t>zamieszczenie informacji o trwających konsultacjach na</w:t>
      </w:r>
      <w:r>
        <w:rPr>
          <w:rFonts w:cs="Calibri" w:cstheme="minorHAnsi"/>
        </w:rPr>
        <w:t xml:space="preserve"> </w:t>
      </w:r>
      <w:r>
        <w:rPr>
          <w:rStyle w:val="Markedcontent"/>
          <w:rFonts w:cs="Calibri" w:cstheme="minorHAnsi"/>
        </w:rPr>
        <w:t xml:space="preserve">tablicach informacyjnych </w:t>
        <w:br/>
        <w:t xml:space="preserve">w urzędach Gmin MOF Włocławka,  </w:t>
      </w:r>
    </w:p>
    <w:p>
      <w:pPr>
        <w:pStyle w:val="ListParagraph"/>
        <w:numPr>
          <w:ilvl w:val="0"/>
          <w:numId w:val="42"/>
        </w:numPr>
        <w:spacing w:lineRule="auto" w:line="276" w:before="0" w:after="160"/>
        <w:contextualSpacing/>
        <w:rPr>
          <w:rStyle w:val="Markedcontent"/>
          <w:rFonts w:cs="Calibri" w:cstheme="minorHAnsi"/>
        </w:rPr>
      </w:pPr>
      <w:r>
        <w:rPr>
          <w:rStyle w:val="Markedcontent"/>
          <w:rFonts w:cs="Calibri" w:cstheme="minorHAnsi"/>
        </w:rPr>
        <w:t xml:space="preserve">zamieszczenie informacji o trwających konsultacjach w prasie lokalnej, </w:t>
      </w:r>
    </w:p>
    <w:p>
      <w:pPr>
        <w:pStyle w:val="ListParagraph"/>
        <w:numPr>
          <w:ilvl w:val="0"/>
          <w:numId w:val="42"/>
        </w:numPr>
        <w:spacing w:lineRule="auto" w:line="276" w:before="0" w:after="120"/>
        <w:contextualSpacing/>
        <w:rPr>
          <w:rFonts w:cs="Calibri" w:cstheme="minorHAnsi"/>
          <w:kern w:val="2"/>
          <w14:ligatures w14:val="standardContextual"/>
        </w:rPr>
      </w:pPr>
      <w:r>
        <w:rPr>
          <w:rStyle w:val="Markedcontent"/>
          <w:rFonts w:cs="Calibri" w:cstheme="minorHAnsi"/>
        </w:rPr>
        <w:t>przekazanie przedstawicielom organizacji pozarządowych w formie elektronicznej informacji</w:t>
        <w:br/>
        <w:t xml:space="preserve"> o konsultacjach projektu </w:t>
      </w:r>
      <w:r>
        <w:rPr>
          <w:rFonts w:cs="Calibri" w:cstheme="minorHAnsi"/>
        </w:rPr>
        <w:t>Prognozy oddziaływania na środowisko dla projektu Strategii Terytorialnej Miejskiego Obszaru Funkcjonalnego Włocławka.</w:t>
      </w:r>
    </w:p>
    <w:p>
      <w:pPr>
        <w:pStyle w:val="Normal"/>
        <w:spacing w:lineRule="auto" w:line="276" w:before="0" w:after="160"/>
        <w:contextualSpacing/>
        <w:rPr>
          <w:rFonts w:cs="Calibri" w:cstheme="minorHAnsi"/>
          <w:kern w:val="2"/>
          <w14:ligatures w14:val="standardContextual"/>
        </w:rPr>
      </w:pPr>
      <w:r>
        <w:rPr>
          <w:rFonts w:cs="Calibri" w:cstheme="minorHAnsi"/>
          <w:kern w:val="2"/>
          <w14:ligatures w14:val="standardContextual"/>
        </w:rPr>
      </w:r>
    </w:p>
    <w:p>
      <w:pPr>
        <w:pStyle w:val="Normal"/>
        <w:spacing w:lineRule="auto" w:line="276" w:before="0" w:after="160"/>
        <w:contextualSpacing/>
        <w:rPr>
          <w:rFonts w:cs="Calibri" w:cstheme="minorHAnsi"/>
          <w:kern w:val="2"/>
          <w14:ligatures w14:val="standardContextual"/>
        </w:rPr>
      </w:pPr>
      <w:r>
        <w:rPr>
          <w:rFonts w:cs="Calibri" w:cstheme="minorHAnsi"/>
          <w:kern w:val="2"/>
          <w14:ligatures w14:val="standardContextual"/>
        </w:rPr>
        <w:t>Konsultacje społeczne zostały przeprowadzone w następujących formach:</w:t>
      </w:r>
    </w:p>
    <w:p>
      <w:pPr>
        <w:pStyle w:val="ListParagraph"/>
        <w:numPr>
          <w:ilvl w:val="0"/>
          <w:numId w:val="42"/>
        </w:numPr>
        <w:spacing w:lineRule="auto" w:line="276" w:before="0" w:after="120"/>
        <w:contextualSpacing/>
        <w:rPr>
          <w:rStyle w:val="Czeinternetowe"/>
          <w:rFonts w:cs="Calibri" w:cstheme="minorHAnsi"/>
          <w:color w:val="000000" w:themeColor="text1"/>
          <w:kern w:val="2"/>
          <w:u w:val="none"/>
          <w14:ligatures w14:val="standardContextual"/>
        </w:rPr>
      </w:pPr>
      <w:r>
        <w:rPr>
          <w:rFonts w:cs="Calibri" w:cstheme="minorHAnsi"/>
          <w:kern w:val="2"/>
          <w14:ligatures w14:val="standardContextual"/>
        </w:rPr>
        <w:t xml:space="preserve">za pomocą środków </w:t>
      </w:r>
      <w:r>
        <w:rPr>
          <w:rFonts w:cs="Calibri" w:cstheme="minorHAnsi"/>
        </w:rPr>
        <w:t xml:space="preserve">komunikacji elektronicznej bez konieczności opatrywania ich bezpiecznym podpisem elektronicznym na adres: </w:t>
      </w:r>
      <w:hyperlink r:id="rId64">
        <w:r>
          <w:rPr>
            <w:rStyle w:val="Czeinternetowe"/>
            <w:rFonts w:cs="Calibri" w:cstheme="minorHAnsi"/>
          </w:rPr>
          <w:t>biuro@wlof.wloclawek.eu</w:t>
        </w:r>
      </w:hyperlink>
      <w:r>
        <w:rPr>
          <w:rStyle w:val="Czeinternetowe"/>
          <w:rFonts w:cs="Calibri" w:cstheme="minorHAnsi"/>
        </w:rPr>
        <w:t>,</w:t>
      </w:r>
    </w:p>
    <w:p>
      <w:pPr>
        <w:pStyle w:val="ListParagraph"/>
        <w:numPr>
          <w:ilvl w:val="0"/>
          <w:numId w:val="42"/>
        </w:numPr>
        <w:spacing w:lineRule="auto" w:line="276" w:before="0" w:after="120"/>
        <w:contextualSpacing/>
        <w:rPr>
          <w:rFonts w:cs="Calibri" w:cstheme="minorHAnsi"/>
          <w:kern w:val="2"/>
          <w14:ligatures w14:val="standardContextual"/>
        </w:rPr>
      </w:pPr>
      <w:r>
        <w:rPr>
          <w:rFonts w:cs="Calibri" w:cstheme="minorHAnsi"/>
          <w:kern w:val="2"/>
          <w14:ligatures w14:val="standardContextual"/>
        </w:rPr>
        <w:t xml:space="preserve">w ramach bezpośredniego kontaktu z pracownikami Biura Stowarzyszenia WŁOF – Zintegrowane Inwestycje Terytorialne Miejskiego Obszaru Funkcjonalnego Włocławka, </w:t>
        <w:br/>
        <w:t>ul. Ptasia 2A we Włocławku z możliwością zgłoszenia uwag i wniosków poprzez wypełnienie formularza konsultacyjnego w formie pisemnej oraz ustnej do protokołu,</w:t>
      </w:r>
    </w:p>
    <w:p>
      <w:pPr>
        <w:pStyle w:val="ListParagraph"/>
        <w:numPr>
          <w:ilvl w:val="0"/>
          <w:numId w:val="42"/>
        </w:numPr>
        <w:spacing w:lineRule="auto" w:line="276" w:before="0" w:after="120"/>
        <w:contextualSpacing/>
        <w:rPr>
          <w:rFonts w:cs="Calibri" w:cstheme="minorHAnsi"/>
          <w:kern w:val="2"/>
          <w14:ligatures w14:val="standardContextual"/>
        </w:rPr>
      </w:pPr>
      <w:r>
        <w:rPr>
          <w:rFonts w:cs="Calibri" w:cstheme="minorHAnsi"/>
          <w:kern w:val="2"/>
          <w14:ligatures w14:val="standardContextual"/>
        </w:rPr>
        <w:t xml:space="preserve">udostępnienie do wglądu wersji papierowej projektu </w:t>
      </w:r>
      <w:r>
        <w:rPr>
          <w:rFonts w:cs="Calibri" w:cstheme="minorHAnsi"/>
        </w:rPr>
        <w:t>Prognozy oddziaływania na środowisko dla projektu dokumentu Strategii Terytorialnej Miejskiego Obszaru Funkcjonalnego Włocławka wraz z formularzem konsultacyjnym w siedzibie Biura Stowarzyszenia WŁOF, ul Ptasia 2A we Włocławku.</w:t>
      </w:r>
    </w:p>
    <w:p>
      <w:pPr>
        <w:pStyle w:val="Normal"/>
        <w:spacing w:lineRule="auto" w:line="276"/>
        <w:jc w:val="both"/>
        <w:rPr>
          <w:rFonts w:cs="Calibri" w:cstheme="minorHAnsi"/>
        </w:rPr>
      </w:pPr>
      <w:r>
        <w:rPr>
          <w:rFonts w:cs="Calibri" w:cstheme="minorHAnsi"/>
        </w:rPr>
        <w:t xml:space="preserve">W ramach konsultacji społecznych podjęto współpracę z Komitetem Doradczym. W dniu 06.11.2023r. odbyło się spotkanie Komitetu Doradczego, którego celem było opiniowanie projektu dokumentu Prognozy oddziaływania na środowisko dla projektu dokumentu Strategii Terytorialnej Miejskiego Obszaru Funkcjonalnego Włocławka oraz określenie propozycji przeprowadzenia konsultacji społecznych. Komitet Doradczy nie zgłosił uwag do projektu Prognozy oddziaływania na środowisko. </w:t>
      </w:r>
    </w:p>
    <w:p>
      <w:pPr>
        <w:pStyle w:val="Normal"/>
        <w:spacing w:lineRule="auto" w:line="276"/>
        <w:jc w:val="both"/>
        <w:rPr>
          <w:rFonts w:cs="Calibri" w:cstheme="minorHAnsi"/>
        </w:rPr>
      </w:pPr>
      <w:r>
        <w:rPr>
          <w:rFonts w:cs="Calibri" w:cstheme="minorHAnsi"/>
        </w:rPr>
        <w:t xml:space="preserve">Konsultacje społeczne były prowadzone zgodnie z zasadą równości, w których </w:t>
      </w:r>
      <w:r>
        <w:rPr>
          <w:rStyle w:val="Markedcontent"/>
          <w:rFonts w:cs="Calibri" w:cstheme="minorHAnsi"/>
        </w:rPr>
        <w:t>wszyscy chętni mogli brać udział</w:t>
      </w:r>
      <w:r>
        <w:rPr>
          <w:rFonts w:cs="Calibri" w:cstheme="minorHAnsi"/>
        </w:rPr>
        <w:t xml:space="preserve"> </w:t>
      </w:r>
      <w:r>
        <w:rPr>
          <w:rStyle w:val="Markedcontent"/>
          <w:rFonts w:cs="Calibri" w:cstheme="minorHAnsi"/>
        </w:rPr>
        <w:t xml:space="preserve">na równych prawach, z uwzględnieniem </w:t>
      </w:r>
      <w:r>
        <w:rPr>
          <w:rFonts w:cs="Calibri" w:cstheme="minorHAnsi"/>
        </w:rPr>
        <w:t>zasady równości szans i niedyskryminacji oraz</w:t>
        <w:br/>
        <w:t xml:space="preserve">zasady równości kobiet i mężczyzn. </w:t>
      </w:r>
    </w:p>
    <w:p>
      <w:pPr>
        <w:pStyle w:val="Normal"/>
        <w:spacing w:lineRule="auto" w:line="276"/>
        <w:jc w:val="both"/>
        <w:rPr>
          <w:rFonts w:cs="Calibri" w:cstheme="minorHAnsi"/>
          <w:color w:val="000000" w:themeColor="text1"/>
        </w:rPr>
      </w:pPr>
      <w:r>
        <w:rPr>
          <w:rFonts w:eastAsia="Times New Roman" w:cs="Calibri" w:cstheme="minorHAnsi"/>
          <w:lang w:eastAsia="pl-PL"/>
        </w:rPr>
        <w:t xml:space="preserve">Konsultacje społeczne prowadzone były równocześnie we wszystkich </w:t>
      </w:r>
      <w:r>
        <w:rPr>
          <w:rFonts w:cs="Calibri" w:cstheme="minorHAnsi"/>
        </w:rPr>
        <w:t xml:space="preserve">jednostkach samorządu terytorialnego wchodzących w skład MOF Włocławka: </w:t>
      </w:r>
      <w:r>
        <w:rPr>
          <w:rFonts w:cs="Calibri" w:cstheme="minorHAnsi"/>
          <w:color w:val="000000" w:themeColor="text1"/>
        </w:rPr>
        <w:t>Gmina Miasto Włocławek, Powiat Włocławski, Gmina Miasto Kowal, Gmina Baruchowo, Gmina Boniewo, Gmina Brześć Kujawski, Gmina Choceń, Miasto i Gmina Chodecz, Gmina Fabianki, Gmina Izbica Kujawska, Gmina Kowal, Gmina Lubanie, Gmina Lubień Kujawski, Gmina Lubraniec, Gmina Włocławek.</w:t>
      </w:r>
    </w:p>
    <w:p>
      <w:pPr>
        <w:pStyle w:val="Normal"/>
        <w:rPr/>
      </w:pPr>
      <w:r>
        <w:rPr/>
      </w:r>
    </w:p>
    <w:p>
      <w:pPr>
        <w:pStyle w:val="Nagwek1"/>
        <w:numPr>
          <w:ilvl w:val="0"/>
          <w:numId w:val="61"/>
        </w:numPr>
        <w:rPr/>
      </w:pPr>
      <w:bookmarkStart w:id="233" w:name="_Toc143161938"/>
      <w:bookmarkStart w:id="234" w:name="_Hlk134098396"/>
      <w:r>
        <w:rPr/>
        <w:t>Sprawozdanie z konsultacji społecznych</w:t>
      </w:r>
      <w:bookmarkEnd w:id="233"/>
      <w:bookmarkEnd w:id="234"/>
    </w:p>
    <w:p>
      <w:pPr>
        <w:pStyle w:val="Normal"/>
        <w:spacing w:lineRule="auto" w:line="276"/>
        <w:jc w:val="both"/>
        <w:rPr/>
      </w:pPr>
      <w:r>
        <w:rPr/>
        <w:t xml:space="preserve">Na podstawie Uchwały nr 21/2023 </w:t>
      </w:r>
      <w:r>
        <w:rPr>
          <w:rStyle w:val="Markedcontent"/>
          <w:rFonts w:cs="Calibri" w:cstheme="minorHAnsi"/>
          <w:color w:val="000000" w:themeColor="text1"/>
        </w:rPr>
        <w:t>Zarządu Stowarzyszenia WŁOF – Zintegrowane Inwestycje Terytorialne Miejskiego Obszaru Funkcjonalnego Włocławka</w:t>
      </w:r>
      <w:r>
        <w:rPr/>
        <w:t xml:space="preserve"> z dnia 13.07.2023r. </w:t>
      </w:r>
      <w:r>
        <w:rPr>
          <w:rStyle w:val="Markedcontent"/>
          <w:rFonts w:cs="Calibri" w:cstheme="minorHAnsi"/>
          <w:color w:val="000000" w:themeColor="text1"/>
        </w:rPr>
        <w:t>w sprawie przyjęcia</w:t>
      </w:r>
      <w:r>
        <w:rPr>
          <w:rFonts w:cs="Calibri" w:cstheme="minorHAnsi"/>
        </w:rPr>
        <w:t xml:space="preserve"> projektu Strategii Terytorialnej Miejskiego Obszaru Funkcjonalnego Włocławka </w:t>
      </w:r>
      <w:r>
        <w:rPr>
          <w:rStyle w:val="Markedcontent"/>
          <w:rFonts w:cs="Calibri" w:cstheme="minorHAnsi"/>
          <w:color w:val="000000" w:themeColor="text1"/>
        </w:rPr>
        <w:t xml:space="preserve">i skierowaniu </w:t>
        <w:br/>
        <w:t>jej do konsultacji społecznych, w dniach od 24.07.2023r. do 14.08.2023r. do godz.15:30  odbywały się otwarte konsultacje społeczne projektu ww. dokumentu.</w:t>
      </w:r>
    </w:p>
    <w:p>
      <w:pPr>
        <w:pStyle w:val="Default"/>
        <w:spacing w:lineRule="auto" w:line="276" w:before="0" w:after="139"/>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color w:val="000000" w:themeColor="text1"/>
          <w:sz w:val="22"/>
          <w:szCs w:val="22"/>
        </w:rPr>
        <w:t xml:space="preserve">Celem przeprowadzenia konsultacji było poinformowanie mieszkańców Miejskiego Obszaru Funkcjonalnego Włocławka o przygotowanym projekcie Strategii Terytorialnej </w:t>
      </w:r>
      <w:r>
        <w:rPr>
          <w:rFonts w:cs="Calibri" w:ascii="Calibri" w:hAnsi="Calibri" w:asciiTheme="minorHAnsi" w:cstheme="minorHAnsi" w:hAnsiTheme="minorHAnsi"/>
          <w:sz w:val="22"/>
          <w:szCs w:val="22"/>
        </w:rPr>
        <w:t>Miejskiego Obszaru Funkcjonalnego Włocławka. Przeprowadzone konsultacje dały uczestnikom możliwość zapoznania się z projektem dokumentu, a także umożliwiły zebranie uwag, wniosków i opinii.</w:t>
      </w:r>
    </w:p>
    <w:p>
      <w:pPr>
        <w:pStyle w:val="Normal"/>
        <w:spacing w:lineRule="auto" w:line="276" w:before="0" w:after="160"/>
        <w:contextualSpacing/>
        <w:jc w:val="both"/>
        <w:rPr/>
      </w:pPr>
      <w:r>
        <w:rPr/>
        <w:t>Zaproszenie do udziału w konsultacjach wraz z projektem Strategii Terytorialnej zostało opublikowane na oficjalnych stronach internetowych jednostek samorządu terytorialnego MOF Włocławka, stronie internetowej Stowarzyszenia WŁOF:</w:t>
      </w:r>
      <w:r>
        <w:rPr>
          <w:rStyle w:val="Markedcontent"/>
          <w:rFonts w:cs="Calibri" w:cstheme="minorHAnsi"/>
          <w:color w:val="000000" w:themeColor="text1"/>
        </w:rPr>
        <w:t xml:space="preserve"> </w:t>
      </w:r>
      <w:hyperlink r:id="rId65">
        <w:r>
          <w:rPr>
            <w:rStyle w:val="Czeinternetowe"/>
            <w:rFonts w:cs="Calibri" w:cstheme="minorHAnsi"/>
          </w:rPr>
          <w:t>https://wlof.wloclawek.eu/</w:t>
        </w:r>
      </w:hyperlink>
      <w:r>
        <w:rPr>
          <w:rStyle w:val="Czeinternetowe"/>
          <w:rFonts w:cs="Calibri" w:cstheme="minorHAnsi"/>
        </w:rPr>
        <w:t xml:space="preserve"> </w:t>
      </w:r>
      <w:r>
        <w:rPr>
          <w:rStyle w:val="Czeinternetowe"/>
          <w:rFonts w:cs="Calibri" w:cstheme="minorHAnsi"/>
          <w:color w:val="000000" w:themeColor="text1"/>
          <w:u w:val="none"/>
        </w:rPr>
        <w:t>oraz w mediach społecznościowych</w:t>
      </w:r>
      <w:r>
        <w:rPr>
          <w:rStyle w:val="Markedcontent"/>
          <w:rFonts w:cs="Calibri" w:cstheme="minorHAnsi"/>
          <w:color w:val="000000" w:themeColor="text1"/>
        </w:rPr>
        <w:t>. Informacje o konsultacjach społecznych pojawiły się również na tablicach informacyjnych w urzędach Gmin MOF Włocławka. Ponadto projekt Strategii Terytorialnej został wyłożony do wglądu w siedzibach wszystkich urzędów Gmin MOF Włocławka, w siedzibie Starostwa Powiatowego oraz w Biurze Stowarzyszenia WŁOF – Zintegrowane Inwestycje Terytorialne Miejskiego Obszaru Funkcjonalnego Włocławka. Zaproszenie wraz z projektem Strategii zostało również przekazane w formie elektronicznej przedstawicielom organizacji pozarządowych oraz społeczno – gospodarczych. Informacja o trwających konsultacjach społecznych projektu Strategii pojawiła się również</w:t>
        <w:br/>
        <w:t xml:space="preserve"> na oficjalnej stronie internetowej Centrum Organizacji Pozarządowych i Wolontariatu </w:t>
      </w:r>
      <w:hyperlink r:id="rId66">
        <w:r>
          <w:rPr>
            <w:rStyle w:val="Czeinternetowe"/>
          </w:rPr>
          <w:t>https://cop.wloclawek.pl/2023/07/konsultacje-projektu-strategii-terytorialnej-miejskiego-obszaru-funkcjonalnego-wloclawka/</w:t>
        </w:r>
      </w:hyperlink>
      <w:r>
        <w:rPr/>
        <w:t xml:space="preserve">, </w:t>
      </w:r>
      <w:r>
        <w:rPr>
          <w:rStyle w:val="Markedcontent"/>
          <w:rFonts w:cs="Calibri" w:cstheme="minorHAnsi"/>
          <w:color w:val="000000" w:themeColor="text1"/>
        </w:rPr>
        <w:t xml:space="preserve">w prasie lokalnej, tj. Gazecie Pomorskiej oraz na stornach internetowych portali informacyjnych, tj.  </w:t>
      </w:r>
      <w:r>
        <w:rPr>
          <w:rStyle w:val="Czeinternetowe"/>
        </w:rPr>
        <w:t xml:space="preserve">https://tu.wloclawek.pl, </w:t>
      </w:r>
      <w:r>
        <w:rPr/>
        <w:t xml:space="preserve"> </w:t>
      </w:r>
      <w:hyperlink r:id="rId67">
        <w:r>
          <w:rPr>
            <w:rStyle w:val="Czeinternetowe"/>
          </w:rPr>
          <w:t>https://q4.pl</w:t>
        </w:r>
      </w:hyperlink>
      <w:r>
        <w:rPr/>
        <w:t xml:space="preserve">, </w:t>
      </w:r>
      <w:hyperlink r:id="rId68">
        <w:r>
          <w:rPr>
            <w:rStyle w:val="Czeinternetowe"/>
          </w:rPr>
          <w:t>https://wloclawek.wkontakciejst.pl</w:t>
        </w:r>
      </w:hyperlink>
      <w:r>
        <w:rPr/>
        <w:t xml:space="preserve">, </w:t>
      </w:r>
      <w:hyperlink r:id="rId69">
        <w:r>
          <w:rPr>
            <w:rStyle w:val="Czeinternetowe"/>
          </w:rPr>
          <w:t>https://www.radiopik.pl</w:t>
        </w:r>
      </w:hyperlink>
      <w:r>
        <w:rPr/>
        <w:t xml:space="preserve">; </w:t>
      </w:r>
      <w:hyperlink r:id="rId70">
        <w:r>
          <w:rPr>
            <w:rStyle w:val="Czeinternetowe"/>
          </w:rPr>
          <w:t>https://wlc24.tv</w:t>
        </w:r>
      </w:hyperlink>
    </w:p>
    <w:p>
      <w:pPr>
        <w:pStyle w:val="Normal"/>
        <w:spacing w:lineRule="auto" w:line="276" w:before="0" w:after="160"/>
        <w:contextualSpacing/>
        <w:jc w:val="both"/>
        <w:rPr/>
      </w:pPr>
      <w:r>
        <w:rPr/>
        <w:t xml:space="preserve"> </w:t>
      </w:r>
    </w:p>
    <w:p>
      <w:pPr>
        <w:pStyle w:val="Normal"/>
        <w:spacing w:lineRule="auto" w:line="276"/>
        <w:jc w:val="both"/>
        <w:rPr/>
      </w:pPr>
      <w:r>
        <w:rPr/>
        <w:t xml:space="preserve">Konsultacje zostały przeprowadzone w określonych w ww. Uchwale formach, przy następującym sposobie przekazywania uwag: </w:t>
      </w:r>
    </w:p>
    <w:p>
      <w:pPr>
        <w:pStyle w:val="ListParagraph"/>
        <w:numPr>
          <w:ilvl w:val="0"/>
          <w:numId w:val="36"/>
        </w:numPr>
        <w:spacing w:lineRule="auto" w:line="276" w:before="0" w:after="160"/>
        <w:contextualSpacing/>
        <w:rPr>
          <w:rFonts w:cs="Calibri" w:cstheme="minorHAnsi"/>
          <w:u w:val="single"/>
        </w:rPr>
      </w:pPr>
      <w:r>
        <w:rPr>
          <w:rFonts w:cs="Calibri" w:cstheme="minorHAnsi"/>
          <w:u w:val="single"/>
        </w:rPr>
        <w:t>Pisemnie:</w:t>
      </w:r>
    </w:p>
    <w:p>
      <w:pPr>
        <w:pStyle w:val="ListParagraph"/>
        <w:numPr>
          <w:ilvl w:val="0"/>
          <w:numId w:val="37"/>
        </w:numPr>
        <w:spacing w:lineRule="auto" w:line="276" w:before="0" w:after="160"/>
        <w:contextualSpacing/>
        <w:rPr>
          <w:rStyle w:val="Markedcontent"/>
          <w:rFonts w:cs="Calibri" w:cstheme="minorHAnsi"/>
        </w:rPr>
      </w:pPr>
      <w:r>
        <w:rPr>
          <w:rFonts w:cs="Calibri" w:cstheme="minorHAnsi"/>
        </w:rPr>
        <w:t xml:space="preserve">za pośrednictwem poczty lub osobiste dostarczenie do siedziby </w:t>
      </w:r>
      <w:r>
        <w:rPr>
          <w:rStyle w:val="Markedcontent"/>
          <w:rFonts w:cs="Calibri" w:cstheme="minorHAnsi"/>
        </w:rPr>
        <w:t>Stowarzyszenia WŁOF – Zintegrowane Inwestycje Terytorialne Miejskiego Obszaru Funkcjonalnego Włocławka,</w:t>
        <w:br/>
        <w:t xml:space="preserve"> ul. Brzeska 15, 87-800 Włocławek oraz do siedziby wszystkich urzędów Gmin MOF Włocławka i siedziby Starostwa Powiatowego wypełnionego formularza konsultacyjnego, w godzinach pracy jednostek (urna w holu głównym),</w:t>
      </w:r>
    </w:p>
    <w:p>
      <w:pPr>
        <w:pStyle w:val="ListParagraph"/>
        <w:numPr>
          <w:ilvl w:val="0"/>
          <w:numId w:val="37"/>
        </w:numPr>
        <w:spacing w:lineRule="auto" w:line="276" w:before="240" w:after="160"/>
        <w:contextualSpacing/>
        <w:rPr>
          <w:rStyle w:val="Markedcontent"/>
          <w:rFonts w:cs="Calibri" w:cstheme="minorHAnsi"/>
        </w:rPr>
      </w:pPr>
      <w:r>
        <w:rPr>
          <w:rStyle w:val="Markedcontent"/>
          <w:rFonts w:cs="Calibri" w:cstheme="minorHAnsi"/>
        </w:rPr>
        <w:t>podczas 15 spotkań konsultacyjnych z mieszkańcami MOF w siedzibach urzędów Gmin MOF Włocławka oraz siedzibie Starostwa Powiatowego.</w:t>
      </w:r>
    </w:p>
    <w:p>
      <w:pPr>
        <w:pStyle w:val="ListParagraph"/>
        <w:numPr>
          <w:ilvl w:val="0"/>
          <w:numId w:val="36"/>
        </w:numPr>
        <w:spacing w:lineRule="auto" w:line="276" w:before="240" w:after="160"/>
        <w:contextualSpacing/>
        <w:rPr>
          <w:rFonts w:cs="Calibri" w:cstheme="minorHAnsi"/>
          <w:kern w:val="2"/>
          <w:u w:val="single"/>
          <w14:ligatures w14:val="standardContextual"/>
        </w:rPr>
      </w:pPr>
      <w:r>
        <w:rPr>
          <w:rFonts w:cs="Calibri" w:cstheme="minorHAnsi"/>
          <w:kern w:val="2"/>
          <w:u w:val="single"/>
          <w14:ligatures w14:val="standardContextual"/>
        </w:rPr>
        <w:t>Elektronicznie:</w:t>
      </w:r>
    </w:p>
    <w:p>
      <w:pPr>
        <w:pStyle w:val="ListParagraph"/>
        <w:numPr>
          <w:ilvl w:val="0"/>
          <w:numId w:val="38"/>
        </w:numPr>
        <w:spacing w:lineRule="auto" w:line="276" w:before="0" w:after="160"/>
        <w:contextualSpacing/>
        <w:rPr>
          <w:rStyle w:val="Czeinternetowe"/>
          <w:rFonts w:cs="Calibri" w:cstheme="minorHAnsi"/>
          <w:color w:val="000000" w:themeColor="text1"/>
          <w:kern w:val="2"/>
          <w:u w:val="none"/>
          <w14:ligatures w14:val="standardContextual"/>
        </w:rPr>
      </w:pPr>
      <w:r>
        <w:rPr>
          <w:rFonts w:cs="Calibri" w:cstheme="minorHAnsi"/>
        </w:rPr>
        <w:t xml:space="preserve">poprzez uzupełnienie i przesłanie interaktywnego formularza konsultacji społecznych poprzez platformę konsultacyjną  na stronie </w:t>
      </w:r>
      <w:hyperlink r:id="rId71">
        <w:r>
          <w:rPr>
            <w:rStyle w:val="Czeinternetowe"/>
            <w:rFonts w:cs="Calibri" w:cstheme="minorHAnsi"/>
          </w:rPr>
          <w:t>https://forms.gle/b3qvTKDWhQZd9EacA</w:t>
        </w:r>
      </w:hyperlink>
      <w:r>
        <w:rPr>
          <w:rFonts w:cs="Calibri" w:cstheme="minorHAnsi"/>
          <w:color w:val="0000FF"/>
        </w:rPr>
        <w:t xml:space="preserve">  </w:t>
      </w:r>
      <w:r>
        <w:rPr>
          <w:rStyle w:val="Czeinternetowe"/>
          <w:rFonts w:cs="Calibri" w:cstheme="minorHAnsi"/>
          <w:color w:val="000000" w:themeColor="text1"/>
          <w:u w:val="none"/>
        </w:rPr>
        <w:t>zamieszczonego na stronach internetowych Członków Stowarzyszenia oraz Stowarzyszenia WŁOF,</w:t>
      </w:r>
    </w:p>
    <w:p>
      <w:pPr>
        <w:pStyle w:val="ListParagraph"/>
        <w:numPr>
          <w:ilvl w:val="0"/>
          <w:numId w:val="38"/>
        </w:numPr>
        <w:spacing w:lineRule="auto" w:line="276" w:before="0" w:after="160"/>
        <w:contextualSpacing/>
        <w:rPr>
          <w:rStyle w:val="Markedcontent"/>
          <w:rFonts w:cs="Calibri" w:cstheme="minorHAnsi"/>
          <w:kern w:val="2"/>
          <w14:ligatures w14:val="standardContextual"/>
        </w:rPr>
      </w:pPr>
      <w:r>
        <w:rPr>
          <w:rStyle w:val="Markedcontent"/>
          <w:rFonts w:cs="Calibri" w:cstheme="minorHAnsi"/>
        </w:rPr>
        <w:t xml:space="preserve">za pomocą poczty elektronicznej, poprzez wypełnienie i przesłanie skanu podpisanego formularza konsultacyjnego na adres: </w:t>
      </w:r>
      <w:hyperlink r:id="rId72">
        <w:r>
          <w:rPr>
            <w:rStyle w:val="Czeinternetowe"/>
            <w:rFonts w:cs="Calibri" w:cstheme="minorHAnsi"/>
          </w:rPr>
          <w:t>biuro@wlof.wloclawek.eu</w:t>
        </w:r>
      </w:hyperlink>
      <w:r>
        <w:rPr>
          <w:rStyle w:val="Markedcontent"/>
          <w:rFonts w:cs="Calibri" w:cstheme="minorHAnsi"/>
        </w:rPr>
        <w:t xml:space="preserve"> .</w:t>
      </w:r>
    </w:p>
    <w:p>
      <w:pPr>
        <w:pStyle w:val="ListParagraph"/>
        <w:numPr>
          <w:ilvl w:val="0"/>
          <w:numId w:val="36"/>
        </w:numPr>
        <w:spacing w:lineRule="auto" w:line="276" w:before="0" w:after="160"/>
        <w:contextualSpacing/>
        <w:rPr>
          <w:rStyle w:val="Markedcontent"/>
          <w:rFonts w:cs="Calibri" w:cstheme="minorHAnsi"/>
          <w:u w:val="single"/>
        </w:rPr>
      </w:pPr>
      <w:r>
        <w:rPr>
          <w:rStyle w:val="Markedcontent"/>
          <w:rFonts w:cs="Calibri" w:cstheme="minorHAnsi"/>
          <w:u w:val="single"/>
        </w:rPr>
        <w:t>Ustnie:</w:t>
      </w:r>
    </w:p>
    <w:p>
      <w:pPr>
        <w:pStyle w:val="ListParagraph"/>
        <w:numPr>
          <w:ilvl w:val="0"/>
          <w:numId w:val="39"/>
        </w:numPr>
        <w:spacing w:lineRule="auto" w:line="276" w:before="0" w:after="160"/>
        <w:contextualSpacing/>
        <w:rPr>
          <w:rStyle w:val="Markedcontent"/>
          <w:rFonts w:cs="Calibri" w:cstheme="minorHAnsi"/>
        </w:rPr>
      </w:pPr>
      <w:r>
        <w:rPr>
          <w:rStyle w:val="Markedcontent"/>
          <w:rFonts w:cs="Calibri" w:cstheme="minorHAnsi"/>
        </w:rPr>
        <w:t xml:space="preserve">w ramach bezpośredniego kontaktu z zespołem projektowym Strategii Terytorialnej Miejskiego Obszaru Funkcjonalnego Włocławka w siedzibie Biura Stowarzyszenia WŁOF, </w:t>
        <w:br/>
        <w:t xml:space="preserve">ul. Brzeska 15 we Włocławku, </w:t>
      </w:r>
    </w:p>
    <w:p>
      <w:pPr>
        <w:pStyle w:val="ListParagraph"/>
        <w:numPr>
          <w:ilvl w:val="0"/>
          <w:numId w:val="39"/>
        </w:numPr>
        <w:spacing w:lineRule="auto" w:line="276" w:before="0" w:after="160"/>
        <w:contextualSpacing/>
        <w:rPr>
          <w:rStyle w:val="Markedcontent"/>
          <w:rFonts w:cs="Calibri" w:cstheme="minorHAnsi"/>
        </w:rPr>
      </w:pPr>
      <w:r>
        <w:rPr>
          <w:rStyle w:val="Markedcontent"/>
          <w:rFonts w:cs="Calibri" w:cstheme="minorHAnsi"/>
        </w:rPr>
        <w:t>podczas 15 spotkań konsultacyjnych z mieszkańcami MOF Włocławka.</w:t>
      </w:r>
    </w:p>
    <w:p>
      <w:pPr>
        <w:pStyle w:val="ListParagraph"/>
        <w:spacing w:lineRule="auto" w:line="276" w:before="0" w:after="160"/>
        <w:contextualSpacing/>
        <w:rPr>
          <w:rFonts w:cs="Calibri" w:cstheme="minorHAnsi"/>
        </w:rPr>
      </w:pPr>
      <w:r>
        <w:rPr>
          <w:rFonts w:cs="Calibri" w:cstheme="minorHAnsi"/>
        </w:rPr>
      </w:r>
    </w:p>
    <w:p>
      <w:pPr>
        <w:pStyle w:val="Normal"/>
        <w:spacing w:lineRule="auto" w:line="276"/>
        <w:jc w:val="both"/>
        <w:rPr/>
      </w:pPr>
      <w:r>
        <w:rPr/>
        <w:t>W okresie od 24 lipca do 10 sierpnia 2023r. zorganizowano w siedzibach Gmin MOF Włocławka</w:t>
        <w:br/>
        <w:t xml:space="preserve">15 spotkań konsultacyjnych, w których wzięło udział 225 osób. Na spotkaniach nie wniesiono żadnych uwag do projektu dokumentu Strategii Terytorialnej Miejskiego Obszaru Funkcjonalnego Włocławka. Nie wpłynęły żadne uwagi w formie  elektronicznej (interaktywny formularz) i mailowej. W formie papierowej (urny w holu w siedzibach Gmin MOF Włocławka) od 1 zgłaszającego wpłynęło 10 uwag.   </w:t>
      </w:r>
    </w:p>
    <w:p>
      <w:pPr>
        <w:pStyle w:val="Normal"/>
        <w:spacing w:lineRule="auto" w:line="276"/>
        <w:jc w:val="both"/>
        <w:rPr>
          <w:rStyle w:val="Markedcontent"/>
          <w:rFonts w:cs="" w:cstheme="minorBidi"/>
        </w:rPr>
      </w:pPr>
      <w:r>
        <w:rPr>
          <w:rStyle w:val="Markedcontent"/>
          <w:rFonts w:cs="" w:cstheme="minorBidi"/>
        </w:rPr>
        <w:t>Spotkania konsultacyjne dały możliwość wyjaśnienia wszystkich wątpliwych kwestii związanych</w:t>
        <w:br/>
        <w:t xml:space="preserve"> z nowym instrumentem finansowania i sposobem jego programowania. Podczas wszystkich spotkań udzielono odpowiedzi na kilkadziesiąt pytań, w szczególności dotyczących:</w:t>
      </w:r>
    </w:p>
    <w:p>
      <w:pPr>
        <w:pStyle w:val="ListParagraph"/>
        <w:numPr>
          <w:ilvl w:val="0"/>
          <w:numId w:val="41"/>
        </w:numPr>
        <w:spacing w:lineRule="auto" w:line="276" w:before="0" w:after="0"/>
        <w:rPr>
          <w:rStyle w:val="Markedcontent"/>
          <w:rFonts w:cs="" w:cstheme="minorBidi"/>
        </w:rPr>
      </w:pPr>
      <w:r>
        <w:rPr>
          <w:rStyle w:val="Markedcontent"/>
          <w:rFonts w:cs="" w:cstheme="minorBidi"/>
        </w:rPr>
        <w:t>zasad programowania instrumentu ZIT,</w:t>
      </w:r>
    </w:p>
    <w:p>
      <w:pPr>
        <w:pStyle w:val="ListParagraph"/>
        <w:numPr>
          <w:ilvl w:val="0"/>
          <w:numId w:val="41"/>
        </w:numPr>
        <w:spacing w:lineRule="auto" w:line="276" w:before="0" w:after="0"/>
        <w:rPr>
          <w:rStyle w:val="Markedcontent"/>
          <w:rFonts w:cs="" w:cstheme="minorBidi"/>
        </w:rPr>
      </w:pPr>
      <w:r>
        <w:rPr>
          <w:rStyle w:val="Markedcontent"/>
          <w:rFonts w:cs="" w:cstheme="minorBidi"/>
        </w:rPr>
        <w:t xml:space="preserve">uwarunkowań finansowych instrumentu ZIT, </w:t>
      </w:r>
    </w:p>
    <w:p>
      <w:pPr>
        <w:pStyle w:val="ListParagraph"/>
        <w:numPr>
          <w:ilvl w:val="0"/>
          <w:numId w:val="41"/>
        </w:numPr>
        <w:spacing w:lineRule="auto" w:line="276" w:before="0" w:after="0"/>
        <w:rPr>
          <w:rStyle w:val="Markedcontent"/>
          <w:rFonts w:cs="" w:cstheme="minorBidi"/>
        </w:rPr>
      </w:pPr>
      <w:r>
        <w:rPr>
          <w:rStyle w:val="Markedcontent"/>
          <w:rFonts w:cs="" w:cstheme="minorBidi"/>
        </w:rPr>
        <w:t xml:space="preserve">dotychczasowego przebiegu prac nad programowaniem instrumentu ZIT, </w:t>
      </w:r>
    </w:p>
    <w:p>
      <w:pPr>
        <w:pStyle w:val="ListParagraph"/>
        <w:numPr>
          <w:ilvl w:val="0"/>
          <w:numId w:val="41"/>
        </w:numPr>
        <w:spacing w:lineRule="auto" w:line="276" w:before="0" w:after="0"/>
        <w:rPr>
          <w:rStyle w:val="Markedcontent"/>
          <w:rFonts w:cs="" w:cstheme="minorBidi"/>
        </w:rPr>
      </w:pPr>
      <w:r>
        <w:rPr>
          <w:rStyle w:val="Markedcontent"/>
          <w:rFonts w:cs="" w:cstheme="minorBidi"/>
        </w:rPr>
        <w:t xml:space="preserve">dalszego harmonogramu prac nad Strategią Terytorialną, </w:t>
      </w:r>
    </w:p>
    <w:p>
      <w:pPr>
        <w:pStyle w:val="ListParagraph"/>
        <w:numPr>
          <w:ilvl w:val="0"/>
          <w:numId w:val="41"/>
        </w:numPr>
        <w:spacing w:lineRule="auto" w:line="276" w:before="0" w:after="0"/>
        <w:rPr>
          <w:rStyle w:val="Markedcontent"/>
          <w:rFonts w:cs="" w:cstheme="minorBidi"/>
        </w:rPr>
      </w:pPr>
      <w:r>
        <w:rPr>
          <w:rStyle w:val="Markedcontent"/>
          <w:rFonts w:cs="" w:cstheme="minorBidi"/>
        </w:rPr>
        <w:t>szczegółowego zakresu poszczególnych przedsięwzięć,</w:t>
      </w:r>
    </w:p>
    <w:p>
      <w:pPr>
        <w:pStyle w:val="ListParagraph"/>
        <w:numPr>
          <w:ilvl w:val="0"/>
          <w:numId w:val="41"/>
        </w:numPr>
        <w:spacing w:lineRule="auto" w:line="276" w:before="0" w:after="0"/>
        <w:rPr>
          <w:rStyle w:val="Markedcontent"/>
          <w:rFonts w:cs="" w:cstheme="minorBidi"/>
        </w:rPr>
      </w:pPr>
      <w:r>
        <w:rPr>
          <w:rStyle w:val="Markedcontent"/>
          <w:rFonts w:cs="" w:cstheme="minorBidi"/>
        </w:rPr>
        <w:t>zasad wdrażania instrumentu ZIT, w tym wyboru projektów</w:t>
      </w:r>
    </w:p>
    <w:p>
      <w:pPr>
        <w:pStyle w:val="Normal"/>
        <w:spacing w:lineRule="auto" w:line="276"/>
        <w:jc w:val="both"/>
        <w:rPr>
          <w:highlight w:val="yellow"/>
        </w:rPr>
      </w:pPr>
      <w:r>
        <w:rPr>
          <w:highlight w:val="yellow"/>
        </w:rPr>
      </w:r>
    </w:p>
    <w:p>
      <w:pPr>
        <w:pStyle w:val="Normal"/>
        <w:spacing w:lineRule="auto" w:line="276"/>
        <w:jc w:val="both"/>
        <w:rPr/>
      </w:pPr>
      <w:r>
        <w:rPr/>
        <w:t xml:space="preserve">Wszystkie zgłoszone przez uczestników konsultacji postulaty poddane zostały analizie i kwalifikacji. </w:t>
        <w:br/>
        <w:t>Te spośród nich, które uznane zostały za uwagi odnoszące się do projektu Strategii Terytorialnej, zostały rozpatrzone pod kątem możliwości ich uwzględnienia. Ocena była dokonywana według zasady:</w:t>
      </w:r>
    </w:p>
    <w:p>
      <w:pPr>
        <w:pStyle w:val="ListParagraph"/>
        <w:numPr>
          <w:ilvl w:val="0"/>
          <w:numId w:val="20"/>
        </w:numPr>
        <w:spacing w:lineRule="auto" w:line="276" w:before="0" w:after="160"/>
        <w:contextualSpacing/>
        <w:rPr/>
      </w:pPr>
      <w:r>
        <w:rPr/>
        <w:t>uwaga uwzględniona - proponowany zapis znajdzie się w projekcie Strategii w brzmieniu wskazanym przez zgłaszającego albo oddającym sens uwagi (na odpowiednim do charakteru dokumentu poziomie ogólności)</w:t>
      </w:r>
    </w:p>
    <w:p>
      <w:pPr>
        <w:pStyle w:val="ListParagraph"/>
        <w:numPr>
          <w:ilvl w:val="0"/>
          <w:numId w:val="20"/>
        </w:numPr>
        <w:spacing w:lineRule="auto" w:line="276" w:before="0" w:after="160"/>
        <w:contextualSpacing/>
        <w:rPr/>
      </w:pPr>
      <w:r>
        <w:rPr/>
        <w:t xml:space="preserve">uwaga uwzględniona częściowo - ze względu na kilka różnych aspektów poruszanych </w:t>
        <w:br/>
        <w:t xml:space="preserve">w zgłaszanej uwadze część proponowanych zapisów znajdzie się w projekcie Strategii, a część nie zostanie uwzględniona. Dokonano weryfikacji zapisów, w wyniku której zmianie uległa część treści, do której odnosi się uwaga, </w:t>
      </w:r>
    </w:p>
    <w:p>
      <w:pPr>
        <w:pStyle w:val="ListParagraph"/>
        <w:numPr>
          <w:ilvl w:val="0"/>
          <w:numId w:val="20"/>
        </w:numPr>
        <w:spacing w:lineRule="auto" w:line="276" w:before="0" w:after="160"/>
        <w:contextualSpacing/>
        <w:rPr/>
      </w:pPr>
      <w:r>
        <w:rPr/>
        <w:t xml:space="preserve">uwaga nieuwzględniona - proponowana zmiana jest zbyt szczegółowa w stosunku </w:t>
        <w:br/>
        <w:t xml:space="preserve">do charakteru Strategii i przyjętej metody jej opracowania, jest niezasadna merytorycznie </w:t>
        <w:br/>
        <w:t xml:space="preserve">lub ma już swoje odzwierciedlenie w zapisach Strategii, </w:t>
      </w:r>
    </w:p>
    <w:p>
      <w:pPr>
        <w:pStyle w:val="ListParagraph"/>
        <w:numPr>
          <w:ilvl w:val="0"/>
          <w:numId w:val="20"/>
        </w:numPr>
        <w:spacing w:lineRule="auto" w:line="276" w:before="0" w:after="160"/>
        <w:contextualSpacing/>
        <w:rPr>
          <w:rStyle w:val="Markedcontent"/>
          <w:rFonts w:cs="" w:cstheme="minorBidi"/>
        </w:rPr>
      </w:pPr>
      <w:r>
        <w:rPr/>
        <w:t xml:space="preserve"> </w:t>
      </w:r>
      <w:r>
        <w:rPr/>
        <w:t>uwaga o charakterze opinii - uwaga nie ma charakteru wniosku, nie wnosi propozycji zmian</w:t>
        <w:br/>
        <w:t xml:space="preserve"> do Strategii.</w:t>
      </w:r>
    </w:p>
    <w:p>
      <w:pPr>
        <w:pStyle w:val="Normal"/>
        <w:spacing w:lineRule="auto" w:line="276"/>
        <w:jc w:val="both"/>
        <w:rPr>
          <w:rFonts w:cs="Calibri" w:cstheme="minorHAnsi"/>
        </w:rPr>
      </w:pPr>
      <w:r>
        <w:rPr>
          <w:rStyle w:val="Markedcontent"/>
          <w:rFonts w:cs="Calibri" w:cstheme="minorHAnsi"/>
        </w:rPr>
        <w:t>Szczegółowe zestawienie uwag zgłoszonych w trakcie konsultacji społecznych oraz</w:t>
      </w:r>
      <w:r>
        <w:rPr>
          <w:rFonts w:cs="Calibri" w:cstheme="minorHAnsi"/>
        </w:rPr>
        <w:t xml:space="preserve"> </w:t>
      </w:r>
      <w:r>
        <w:rPr>
          <w:rStyle w:val="Markedcontent"/>
          <w:rFonts w:cs="Calibri" w:cstheme="minorHAnsi"/>
        </w:rPr>
        <w:t xml:space="preserve">odniesienie </w:t>
        <w:br/>
        <w:t>się do nich zawiera Sprawozdanie z konsultacji społecznych stanowiące załącznik nr 5 do niniejszej Strategii.</w:t>
      </w:r>
    </w:p>
    <w:p>
      <w:pPr>
        <w:pStyle w:val="Normal"/>
        <w:rPr>
          <w:u w:val="single"/>
        </w:rPr>
      </w:pPr>
      <w:r>
        <w:rPr>
          <w:u w:val="single"/>
        </w:rPr>
        <w:t xml:space="preserve">Konsultacje społeczne </w:t>
      </w:r>
      <w:r>
        <w:rPr>
          <w:rFonts w:cs="Calibri" w:cstheme="minorHAnsi"/>
          <w:u w:val="single"/>
        </w:rPr>
        <w:t>w ramach strategicznej oceny oddziaływania na środowisko projektu Prognozy oddziaływania na środowisko dla projektu Strategii Terytorialnej Miejskiego Obszaru Funkcjonalnego Włocławka</w:t>
      </w:r>
    </w:p>
    <w:p>
      <w:pPr>
        <w:pStyle w:val="Normal"/>
        <w:spacing w:lineRule="auto" w:line="276"/>
        <w:jc w:val="both"/>
        <w:rPr>
          <w:rStyle w:val="Markedcontent"/>
          <w:rFonts w:cs="Calibri" w:cstheme="minorHAnsi"/>
          <w:color w:val="000000" w:themeColor="text1"/>
        </w:rPr>
      </w:pPr>
      <w:r>
        <w:rPr>
          <w:rFonts w:cs="Calibri" w:cstheme="minorHAnsi"/>
        </w:rPr>
        <w:t xml:space="preserve">Rozdział zostanie uzupełniony po przeprowadzeniu konsultacji społecznych. </w:t>
      </w:r>
    </w:p>
    <w:p>
      <w:pPr>
        <w:pStyle w:val="Normal"/>
        <w:rPr/>
      </w:pPr>
      <w:r>
        <w:rPr/>
      </w:r>
    </w:p>
    <w:p>
      <w:pPr>
        <w:pStyle w:val="Nagwek1"/>
        <w:numPr>
          <w:ilvl w:val="0"/>
          <w:numId w:val="62"/>
        </w:numPr>
        <w:rPr/>
      </w:pPr>
      <w:bookmarkStart w:id="235" w:name="_Toc143161939"/>
      <w:bookmarkStart w:id="236" w:name="_Hlk134098427"/>
      <w:r>
        <w:rPr/>
        <w:t>System monitorowania strategii terytorialnej</w:t>
      </w:r>
      <w:bookmarkEnd w:id="235"/>
      <w:bookmarkEnd w:id="236"/>
    </w:p>
    <w:p>
      <w:pPr>
        <w:pStyle w:val="Normal"/>
        <w:spacing w:lineRule="auto" w:line="276"/>
        <w:jc w:val="both"/>
        <w:rPr>
          <w:rFonts w:eastAsia="Times New Roman" w:cs="Times New Roman"/>
          <w:kern w:val="2"/>
        </w:rPr>
      </w:pPr>
      <w:r>
        <w:rPr>
          <w:rFonts w:eastAsia="Times New Roman" w:cs="Times New Roman"/>
          <w:kern w:val="2"/>
        </w:rPr>
        <w:t xml:space="preserve">Niezbędnym elementem oceny czy realizacja ustaleń strategii postępuje prawidłowo, </w:t>
        <w:br/>
        <w:t>jest monitorowanie tego procesu. Ustala się następujące założenia realizacji tego procesu:</w:t>
      </w:r>
    </w:p>
    <w:p>
      <w:pPr>
        <w:pStyle w:val="Normal"/>
        <w:numPr>
          <w:ilvl w:val="0"/>
          <w:numId w:val="14"/>
        </w:numPr>
        <w:spacing w:lineRule="auto" w:line="276" w:before="0" w:after="160"/>
        <w:contextualSpacing/>
        <w:jc w:val="both"/>
        <w:rPr>
          <w:rFonts w:eastAsia="Times New Roman" w:cs="Times New Roman"/>
          <w:kern w:val="2"/>
        </w:rPr>
      </w:pPr>
      <w:r>
        <w:rPr>
          <w:rFonts w:eastAsia="Times New Roman" w:cs="Times New Roman"/>
          <w:kern w:val="2"/>
        </w:rPr>
        <w:t>Podmiotem odpowiedzialnym za prowadzenie procesu monitorowania są władze partnerstwa</w:t>
      </w:r>
      <w:r>
        <w:rPr>
          <w:rStyle w:val="Zakotwiczenieprzypisudolnego"/>
          <w:rFonts w:eastAsia="Times New Roman" w:cs="Times New Roman"/>
          <w:kern w:val="2"/>
          <w:vertAlign w:val="superscript"/>
        </w:rPr>
        <w:footnoteReference w:id="49"/>
      </w:r>
      <w:r>
        <w:rPr>
          <w:rFonts w:eastAsia="Times New Roman" w:cs="Times New Roman"/>
          <w:kern w:val="2"/>
        </w:rPr>
        <w:t xml:space="preserve">, które realizują zadanie poprzez powołanie zespołu zadaniowego dedykowanego do prowadzenia monitorowania w całym okresie realizacji ustaleń strategii. Jeśli nie zostanie </w:t>
        <w:br/>
        <w:t>to ustalone inaczej, zadanie monitorowania będzie realizowane przez Zespół Zadaniowy</w:t>
        <w:br/>
        <w:t xml:space="preserve"> ds. Realizacji Strategii, o którym mowa w rozdziale „Plan wdrożeniowy dla realizacji strategii”.</w:t>
      </w:r>
    </w:p>
    <w:p>
      <w:pPr>
        <w:pStyle w:val="Normal"/>
        <w:numPr>
          <w:ilvl w:val="0"/>
          <w:numId w:val="14"/>
        </w:numPr>
        <w:spacing w:lineRule="auto" w:line="276" w:before="0" w:after="160"/>
        <w:contextualSpacing/>
        <w:jc w:val="both"/>
        <w:rPr>
          <w:rFonts w:eastAsia="Times New Roman" w:cs="Times New Roman"/>
          <w:kern w:val="2"/>
        </w:rPr>
      </w:pPr>
      <w:r>
        <w:rPr>
          <w:rFonts w:eastAsia="Times New Roman" w:cs="Times New Roman"/>
          <w:kern w:val="2"/>
        </w:rPr>
        <w:t xml:space="preserve">Monitorowaniu podlega </w:t>
      </w:r>
      <w:r>
        <w:rPr>
          <w:rFonts w:eastAsia="Times New Roman" w:cs="Times New Roman"/>
          <w:kern w:val="2"/>
          <w:u w:val="single"/>
        </w:rPr>
        <w:t>realizacja każdego z projektów strategii</w:t>
      </w:r>
      <w:r>
        <w:rPr>
          <w:rFonts w:eastAsia="Times New Roman" w:cs="Times New Roman"/>
          <w:kern w:val="2"/>
        </w:rPr>
        <w:t xml:space="preserve"> (o których mowa w rozdziale „Lista projektów podstawowych (wraz z informacją na temat sposobu ich wyboru oraz powiązania z innymi projektami)”) oraz </w:t>
      </w:r>
      <w:r>
        <w:rPr>
          <w:rFonts w:eastAsia="Times New Roman" w:cs="Times New Roman"/>
          <w:kern w:val="2"/>
          <w:u w:val="single"/>
        </w:rPr>
        <w:t>stan wskaźników realizacji strategii</w:t>
      </w:r>
      <w:r>
        <w:rPr>
          <w:rFonts w:eastAsia="Times New Roman" w:cs="Times New Roman"/>
          <w:kern w:val="2"/>
        </w:rPr>
        <w:t xml:space="preserve"> (o których mowa </w:t>
        <w:br/>
        <w:t>w rozdziale „Oczekiwane wskaźniki produktu i rezultatu realizacji strategii”).</w:t>
      </w:r>
    </w:p>
    <w:p>
      <w:pPr>
        <w:pStyle w:val="Normal"/>
        <w:numPr>
          <w:ilvl w:val="0"/>
          <w:numId w:val="14"/>
        </w:numPr>
        <w:spacing w:lineRule="auto" w:line="276" w:before="0" w:after="160"/>
        <w:contextualSpacing/>
        <w:jc w:val="both"/>
        <w:rPr>
          <w:rFonts w:eastAsia="Times New Roman" w:cs="Times New Roman"/>
          <w:kern w:val="2"/>
        </w:rPr>
      </w:pPr>
      <w:r>
        <w:rPr>
          <w:rFonts w:eastAsia="Times New Roman" w:cs="Times New Roman"/>
          <w:kern w:val="2"/>
        </w:rPr>
        <w:t xml:space="preserve">Monitorowanie jest procesem ciągłym, ale wymiernym rezultatem tego procesu będzie sporządzenie raz w roku publikacji pn. „Raport z realizacji ustaleń strategii terytorialnej </w:t>
        <w:br/>
        <w:t xml:space="preserve">dla Miejskiego Obszaru Funkcjonalnego Włocławka” (zwany dalej Raportem). Raport za dany rok powinien być sporządzony nie później niż do końca miesiąca marca roku następującego </w:t>
        <w:br/>
        <w:t xml:space="preserve">po roku, za który jest sporządzany i zostać przyjęty przez władze partnerstwa nie później niż do końca miesiąca maja roku następującego po roku, za który jest sporządzany. W okresie jednego tygodnia po przyjęciu, Raport zostaje przekazany do Instytucji Zarządzającej programem regionalnym Fundusze Europejskie dla Kujaw i Pomorza 2021-2027 oraz zostaje opublikowany na stronach www: partnerstwa (jeśli prowadzi stronę) oraz wszystkich jst będących sygnatariuszami partnerstwa. </w:t>
      </w:r>
    </w:p>
    <w:p>
      <w:pPr>
        <w:pStyle w:val="Normal"/>
        <w:numPr>
          <w:ilvl w:val="0"/>
          <w:numId w:val="14"/>
        </w:numPr>
        <w:spacing w:lineRule="auto" w:line="276" w:before="0" w:after="160"/>
        <w:contextualSpacing/>
        <w:jc w:val="both"/>
        <w:rPr>
          <w:rFonts w:eastAsia="Times New Roman" w:cs="Times New Roman"/>
          <w:kern w:val="2"/>
        </w:rPr>
      </w:pPr>
      <w:r>
        <w:rPr>
          <w:rFonts w:eastAsia="Times New Roman" w:cs="Times New Roman"/>
          <w:kern w:val="2"/>
        </w:rPr>
        <w:t>Do udziału w procesie monitorowania zobowiązani są wszyscy beneficjenci projektów, których obowiązkiem jest przekazanie zespołowi zadaniowemu dedykowanemu do prowadzenia monitorowania, corocznie do końca lutego danych i informacji niezbędnych do przygotowania Raportu za rok poprzedni.</w:t>
      </w:r>
    </w:p>
    <w:p>
      <w:pPr>
        <w:pStyle w:val="Normal"/>
        <w:numPr>
          <w:ilvl w:val="0"/>
          <w:numId w:val="14"/>
        </w:numPr>
        <w:spacing w:lineRule="auto" w:line="276" w:before="0" w:after="160"/>
        <w:contextualSpacing/>
        <w:jc w:val="both"/>
        <w:rPr>
          <w:rFonts w:eastAsia="Times New Roman" w:cs="Times New Roman"/>
          <w:kern w:val="2"/>
        </w:rPr>
      </w:pPr>
      <w:r>
        <w:rPr>
          <w:rFonts w:eastAsia="Times New Roman" w:cs="Times New Roman"/>
          <w:kern w:val="2"/>
        </w:rPr>
        <w:t>Raport sporządzany jest do końca realizacji ustaleń strategii. Jeśli planowane zadania zostaną zrealizowane przed zakończeniem perspektywy finansowej 2021-2027 – nie zachodzi potrzeba sporządzania raportu dla okresu po zakończeniu realizacji strategii. Jeżeli dany projekt zostanie zrealizowany przed zakończeniem obowiązywania strategii, jest wskazywany w Raporcie</w:t>
        <w:br/>
        <w:t xml:space="preserve"> z odpowiednia adnotacją. </w:t>
      </w:r>
    </w:p>
    <w:p>
      <w:pPr>
        <w:pStyle w:val="Normal"/>
        <w:numPr>
          <w:ilvl w:val="0"/>
          <w:numId w:val="14"/>
        </w:numPr>
        <w:spacing w:lineRule="auto" w:line="276" w:before="0" w:after="160"/>
        <w:contextualSpacing/>
        <w:jc w:val="both"/>
        <w:rPr>
          <w:rFonts w:eastAsia="Times New Roman" w:cs="Times New Roman"/>
          <w:kern w:val="2"/>
        </w:rPr>
      </w:pPr>
      <w:r>
        <w:rPr>
          <w:rFonts w:eastAsia="Times New Roman" w:cs="Times New Roman"/>
          <w:kern w:val="2"/>
        </w:rPr>
        <w:t>W przypadku zmiany ustaleń strategii dotyczącej listy projektów, do końca okresu monitorowania należy w Raporcie uwzględniać zarówno projekty dodane, jak i projekty, które zostały z niej usunięte – wraz z zamieszczeniem stosownej informacji o usunięciu projektu</w:t>
        <w:br/>
        <w:t xml:space="preserve"> i podaniem roku usunięcia projektu i od którego roku realizowany jest projekt włączony do strategii.</w:t>
      </w:r>
    </w:p>
    <w:p>
      <w:pPr>
        <w:pStyle w:val="Normal"/>
        <w:numPr>
          <w:ilvl w:val="0"/>
          <w:numId w:val="14"/>
        </w:numPr>
        <w:spacing w:lineRule="auto" w:line="276" w:before="0" w:after="160"/>
        <w:contextualSpacing/>
        <w:jc w:val="both"/>
        <w:rPr>
          <w:rFonts w:eastAsia="Times New Roman" w:cs="Times New Roman"/>
          <w:kern w:val="2"/>
        </w:rPr>
      </w:pPr>
      <w:r>
        <w:rPr>
          <w:rFonts w:eastAsia="Times New Roman" w:cs="Times New Roman"/>
          <w:kern w:val="2"/>
        </w:rPr>
        <w:t>Raport składa się z następujących, obligatoryjnie wymaganych, części:</w:t>
      </w:r>
    </w:p>
    <w:p>
      <w:pPr>
        <w:pStyle w:val="Normal"/>
        <w:numPr>
          <w:ilvl w:val="2"/>
          <w:numId w:val="15"/>
        </w:numPr>
        <w:spacing w:lineRule="auto" w:line="276" w:before="0" w:after="160"/>
        <w:contextualSpacing/>
        <w:jc w:val="both"/>
        <w:rPr>
          <w:rFonts w:eastAsia="Times New Roman" w:cs="Times New Roman"/>
          <w:kern w:val="2"/>
        </w:rPr>
      </w:pPr>
      <w:r>
        <w:rPr>
          <w:rFonts w:eastAsia="Times New Roman" w:cs="Times New Roman"/>
          <w:kern w:val="2"/>
        </w:rPr>
        <w:t>Charakterystyki działań oraz efektów realizacji projektów strategii, realizowanej poprzez wypełnienie „Karty monitorowania stanu realizacji projektu strategii”, której wzór został zamieszczony poniżej.</w:t>
      </w:r>
    </w:p>
    <w:p>
      <w:pPr>
        <w:pStyle w:val="Normal"/>
        <w:numPr>
          <w:ilvl w:val="2"/>
          <w:numId w:val="15"/>
        </w:numPr>
        <w:spacing w:lineRule="auto" w:line="276" w:before="0" w:after="160"/>
        <w:contextualSpacing/>
        <w:jc w:val="both"/>
        <w:rPr>
          <w:rFonts w:eastAsia="Times New Roman" w:cs="Times New Roman"/>
          <w:kern w:val="2"/>
        </w:rPr>
      </w:pPr>
      <w:r>
        <w:rPr>
          <w:rFonts w:eastAsia="Times New Roman" w:cs="Times New Roman"/>
          <w:kern w:val="2"/>
        </w:rPr>
        <w:t>Analizy stanu wskaźników realizacji strategii, realizowanej poprzez wypełnienie „Karty monitorowania stanu realizacji wskaźników strategii”, której wzór został zamieszczony poniżej.</w:t>
      </w:r>
    </w:p>
    <w:p>
      <w:pPr>
        <w:pStyle w:val="Normal"/>
        <w:numPr>
          <w:ilvl w:val="2"/>
          <w:numId w:val="15"/>
        </w:numPr>
        <w:spacing w:lineRule="auto" w:line="276" w:before="0" w:after="160"/>
        <w:contextualSpacing/>
        <w:jc w:val="both"/>
        <w:rPr>
          <w:rFonts w:eastAsia="Times New Roman" w:cs="Times New Roman"/>
          <w:kern w:val="2"/>
        </w:rPr>
      </w:pPr>
      <w:r>
        <w:rPr>
          <w:rFonts w:eastAsia="Times New Roman" w:cs="Times New Roman"/>
          <w:kern w:val="2"/>
        </w:rPr>
        <w:t>Podsumowania zawierającego najważniejsze wnioski z dokonanej analizy. W szczególności należy zwrócić uwagę na: zidentyfikowane ryzyka realizacji wraz z propozycją ich zminimalizowania, zidentyfikowane możliwości usprawniania realizacji ustaleń strategii, zidentyfikowane projekty, które rekomenduje się do usunięcia ze strategii podczas jej formalnej aktualizacji.</w:t>
      </w:r>
    </w:p>
    <w:p>
      <w:pPr>
        <w:pStyle w:val="Normal"/>
        <w:rPr/>
      </w:pPr>
      <w:r>
        <w:rPr/>
      </w:r>
    </w:p>
    <w:p>
      <w:pPr>
        <w:pStyle w:val="Normal"/>
        <w:spacing w:lineRule="auto" w:line="276" w:before="0" w:after="0"/>
        <w:jc w:val="both"/>
        <w:rPr/>
      </w:pPr>
      <w:r>
        <w:rPr/>
        <w:t>System monitorowania Strategii Terytorialnej Miejskiego Obszaru Funkcjonalnego Włocławka obejmować będzie:</w:t>
      </w:r>
    </w:p>
    <w:p>
      <w:pPr>
        <w:pStyle w:val="Normal"/>
        <w:spacing w:lineRule="auto" w:line="276" w:before="0" w:after="0"/>
        <w:jc w:val="both"/>
        <w:rPr/>
      </w:pPr>
      <w:r>
        <w:rPr/>
        <w:t>Monitoring postępu finansowego:</w:t>
      </w:r>
    </w:p>
    <w:p>
      <w:pPr>
        <w:pStyle w:val="Normal"/>
        <w:spacing w:lineRule="auto" w:line="276" w:before="0" w:after="0"/>
        <w:jc w:val="both"/>
        <w:rPr/>
      </w:pPr>
      <w:r>
        <w:rPr/>
        <w:t>- monitoring złożonych wniosków o dofinansowanie,</w:t>
      </w:r>
    </w:p>
    <w:p>
      <w:pPr>
        <w:pStyle w:val="Normal"/>
        <w:spacing w:lineRule="auto" w:line="276" w:before="0" w:after="0"/>
        <w:jc w:val="both"/>
        <w:rPr/>
      </w:pPr>
      <w:r>
        <w:rPr/>
        <w:t>- monitoring poziomu złożonych wniosków o płatność zgodnie z poziomem kontraktacji,</w:t>
      </w:r>
    </w:p>
    <w:p>
      <w:pPr>
        <w:pStyle w:val="Normal"/>
        <w:spacing w:lineRule="auto" w:line="276" w:before="0" w:after="0"/>
        <w:jc w:val="both"/>
        <w:rPr/>
      </w:pPr>
      <w:r>
        <w:rPr/>
        <w:t>- monitoring przestrzegania terminów realizacji projektów określonych w dokumencie</w:t>
      </w:r>
    </w:p>
    <w:p>
      <w:pPr>
        <w:pStyle w:val="Normal"/>
        <w:spacing w:lineRule="auto" w:line="276" w:before="0" w:after="0"/>
        <w:jc w:val="both"/>
        <w:rPr>
          <w:u w:val="single"/>
        </w:rPr>
      </w:pPr>
      <w:r>
        <w:rPr>
          <w:u w:val="single"/>
        </w:rPr>
      </w:r>
    </w:p>
    <w:p>
      <w:pPr>
        <w:pStyle w:val="Normal"/>
        <w:spacing w:lineRule="auto" w:line="276" w:before="0" w:after="0"/>
        <w:jc w:val="both"/>
        <w:rPr/>
      </w:pPr>
      <w:r>
        <w:rPr/>
        <w:t>Monitoring postępu rzeczowego:</w:t>
      </w:r>
    </w:p>
    <w:p>
      <w:pPr>
        <w:pStyle w:val="Normal"/>
        <w:spacing w:lineRule="auto" w:line="276" w:before="0" w:after="0"/>
        <w:jc w:val="both"/>
        <w:rPr/>
      </w:pPr>
      <w:r>
        <w:rPr/>
        <w:t xml:space="preserve">- monitoring wskaźników programowych, </w:t>
      </w:r>
    </w:p>
    <w:p>
      <w:pPr>
        <w:pStyle w:val="Normal"/>
        <w:spacing w:lineRule="auto" w:line="276" w:before="0" w:after="0"/>
        <w:jc w:val="both"/>
        <w:rPr/>
      </w:pPr>
      <w:r>
        <w:rPr/>
        <w:t xml:space="preserve">- monitoring wskaźników SZOP, </w:t>
      </w:r>
    </w:p>
    <w:p>
      <w:pPr>
        <w:pStyle w:val="Normal"/>
        <w:spacing w:lineRule="auto" w:line="276" w:before="0" w:after="0"/>
        <w:jc w:val="both"/>
        <w:rPr/>
      </w:pPr>
      <w:r>
        <w:rPr/>
        <w:t>- określenie wartości pośrednich i docelowych wskaźników programowych,</w:t>
      </w:r>
    </w:p>
    <w:p>
      <w:pPr>
        <w:pStyle w:val="Normal"/>
        <w:spacing w:lineRule="auto" w:line="276" w:before="0" w:after="0"/>
        <w:jc w:val="both"/>
        <w:rPr/>
      </w:pPr>
      <w:r>
        <w:rPr/>
      </w:r>
    </w:p>
    <w:p>
      <w:pPr>
        <w:pStyle w:val="Normal"/>
        <w:spacing w:lineRule="auto" w:line="276" w:before="0" w:after="0"/>
        <w:jc w:val="both"/>
        <w:rPr/>
      </w:pPr>
      <w:r>
        <w:rPr/>
        <w:t>Monitoring Strategii będzie się odnosił przede wszystkim do stanu  realizacji kamieni milowych założonych w dokumencie oraz zaawansowania poszczególnych projektów.</w:t>
      </w:r>
    </w:p>
    <w:p>
      <w:pPr>
        <w:pStyle w:val="Normal"/>
        <w:spacing w:lineRule="auto" w:line="259"/>
        <w:rPr>
          <w:rFonts w:eastAsia="Times New Roman" w:cs="Times New Roman"/>
          <w:kern w:val="2"/>
        </w:rPr>
      </w:pPr>
      <w:r>
        <w:rPr>
          <w:rFonts w:eastAsia="Times New Roman" w:cs="Times New Roman"/>
          <w:kern w:val="2"/>
        </w:rPr>
      </w:r>
    </w:p>
    <w:p>
      <w:pPr>
        <w:pStyle w:val="Normal"/>
        <w:spacing w:lineRule="auto" w:line="259"/>
        <w:rPr>
          <w:rFonts w:eastAsia="Times New Roman" w:cs="Times New Roman"/>
          <w:kern w:val="2"/>
        </w:rPr>
      </w:pPr>
      <w:r>
        <w:rPr>
          <w:rFonts w:eastAsia="Times New Roman" w:cs="Times New Roman"/>
          <w:kern w:val="2"/>
        </w:rPr>
        <w:t>Wzór „Karty monitorowania stanu realizacji projektu strategii”</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68"/>
        <w:gridCol w:w="1555"/>
        <w:gridCol w:w="806"/>
        <w:gridCol w:w="850"/>
        <w:gridCol w:w="750"/>
        <w:gridCol w:w="802"/>
        <w:gridCol w:w="802"/>
        <w:gridCol w:w="663"/>
        <w:gridCol w:w="663"/>
      </w:tblGrid>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Rok, za który podawana jest informacja</w:t>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Numer projektu</w:t>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Nazwa projektu</w:t>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Beneficjent</w:t>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Imię, nazwisko i dane kontaktowe osoby przedstawiającej dane źródłowe do Raportu</w:t>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Syntetyczny opis działań prowadzonych na rzecz realizacji projektu w roku, za który sporządza się Raport</w:t>
            </w:r>
            <w:r>
              <w:rPr>
                <w:rStyle w:val="Zakotwiczenieprzypisudolnego"/>
                <w:rFonts w:eastAsia="Times New Roman" w:cs=""/>
                <w:kern w:val="2"/>
                <w:sz w:val="20"/>
                <w:szCs w:val="20"/>
                <w:vertAlign w:val="superscript"/>
                <w:lang w:val="pl-PL" w:eastAsia="en-US" w:bidi="ar-SA"/>
              </w:rPr>
              <w:footnoteReference w:id="50"/>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Etap realizacji projektu na koniec roku, za który sporządza się Raport</w:t>
            </w:r>
            <w:r>
              <w:rPr>
                <w:rStyle w:val="Zakotwiczenieprzypisudolnego"/>
                <w:rFonts w:eastAsia="Times New Roman" w:cs=""/>
                <w:kern w:val="2"/>
                <w:sz w:val="20"/>
                <w:szCs w:val="20"/>
                <w:vertAlign w:val="superscript"/>
                <w:lang w:val="pl-PL" w:eastAsia="en-US" w:bidi="ar-SA"/>
              </w:rPr>
              <w:footnoteReference w:id="51"/>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Czy dostrzega się ryzyka dla kontynuacji realizacji projektu? Jeśli tak – należy je scharakteryzować</w:t>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Czy dostrzega się możliwości usprawnienia procesu realizacji projektu? Jeśli tak – należy je scharakteryzować</w:t>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Ewentualne informacje dodatkowe istotne dla procesu realizacji strategii w zakresie danego projektu</w:t>
            </w:r>
            <w:r>
              <w:rPr>
                <w:rStyle w:val="Zakotwiczenieprzypisudolnego"/>
                <w:rFonts w:eastAsia="Times New Roman" w:cs=""/>
                <w:kern w:val="2"/>
                <w:sz w:val="20"/>
                <w:szCs w:val="20"/>
                <w:vertAlign w:val="superscript"/>
                <w:lang w:val="pl-PL" w:eastAsia="en-US" w:bidi="ar-SA"/>
              </w:rPr>
              <w:footnoteReference w:id="52"/>
            </w:r>
          </w:p>
        </w:tc>
        <w:tc>
          <w:tcPr>
            <w:tcW w:w="6891" w:type="dxa"/>
            <w:gridSpan w:val="8"/>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9059" w:type="dxa"/>
            <w:gridSpan w:val="9"/>
            <w:tcBorders/>
          </w:tcPr>
          <w:p>
            <w:pPr>
              <w:pStyle w:val="Normal"/>
              <w:widowControl/>
              <w:spacing w:lineRule="auto" w:line="240" w:before="0" w:after="0"/>
              <w:jc w:val="center"/>
              <w:rPr>
                <w:rFonts w:eastAsia="Times New Roman"/>
                <w:kern w:val="2"/>
                <w:sz w:val="20"/>
                <w:szCs w:val="20"/>
              </w:rPr>
            </w:pPr>
            <w:r>
              <w:rPr>
                <w:rFonts w:eastAsia="Times New Roman" w:cs=""/>
                <w:kern w:val="2"/>
                <w:sz w:val="20"/>
                <w:szCs w:val="20"/>
                <w:lang w:val="pl-PL" w:eastAsia="en-US" w:bidi="ar-SA"/>
              </w:rPr>
              <w:t>Stan realizacji wskaźników projektu</w:t>
            </w:r>
          </w:p>
        </w:tc>
      </w:tr>
      <w:tr>
        <w:trPr/>
        <w:tc>
          <w:tcPr>
            <w:tcW w:w="2168" w:type="dxa"/>
            <w:vMerge w:val="restart"/>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Nazwa i miara wskaźnika</w:t>
            </w:r>
          </w:p>
        </w:tc>
        <w:tc>
          <w:tcPr>
            <w:tcW w:w="1555" w:type="dxa"/>
            <w:vMerge w:val="restart"/>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Wartość docelowa zadeklarowana w strategii</w:t>
            </w:r>
          </w:p>
        </w:tc>
        <w:tc>
          <w:tcPr>
            <w:tcW w:w="5336" w:type="dxa"/>
            <w:gridSpan w:val="7"/>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Stan wskaźnika na koniec roku:</w:t>
            </w:r>
          </w:p>
        </w:tc>
      </w:tr>
      <w:tr>
        <w:trPr/>
        <w:tc>
          <w:tcPr>
            <w:tcW w:w="2168" w:type="dxa"/>
            <w:vMerge w:val="continue"/>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1555" w:type="dxa"/>
            <w:vMerge w:val="continue"/>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2023</w:t>
            </w:r>
          </w:p>
        </w:tc>
        <w:tc>
          <w:tcPr>
            <w:tcW w:w="8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2024</w:t>
            </w:r>
          </w:p>
        </w:tc>
        <w:tc>
          <w:tcPr>
            <w:tcW w:w="7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2025</w:t>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2026</w:t>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2027</w:t>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2028</w:t>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2029</w:t>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Wskaźnik 1</w:t>
            </w:r>
          </w:p>
        </w:tc>
        <w:tc>
          <w:tcPr>
            <w:tcW w:w="1555"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7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Wskaźnik 2</w:t>
            </w:r>
          </w:p>
        </w:tc>
        <w:tc>
          <w:tcPr>
            <w:tcW w:w="1555"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7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t>…</w:t>
            </w:r>
          </w:p>
        </w:tc>
        <w:tc>
          <w:tcPr>
            <w:tcW w:w="1555"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750"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802"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c>
          <w:tcPr>
            <w:tcW w:w="663" w:type="dxa"/>
            <w:tcBorders/>
          </w:tcPr>
          <w:p>
            <w:pPr>
              <w:pStyle w:val="Normal"/>
              <w:widowControl/>
              <w:spacing w:lineRule="auto" w:line="240" w:before="0" w:after="0"/>
              <w:jc w:val="left"/>
              <w:rPr>
                <w:rFonts w:eastAsia="Times New Roman"/>
                <w:kern w:val="2"/>
                <w:sz w:val="20"/>
                <w:szCs w:val="20"/>
              </w:rPr>
            </w:pPr>
            <w:r>
              <w:rPr>
                <w:rFonts w:eastAsia="Times New Roman" w:cs=""/>
                <w:kern w:val="2"/>
                <w:sz w:val="20"/>
                <w:szCs w:val="20"/>
                <w:lang w:val="pl-PL" w:eastAsia="en-US" w:bidi="ar-SA"/>
              </w:rPr>
            </w:r>
          </w:p>
        </w:tc>
      </w:tr>
    </w:tbl>
    <w:p>
      <w:pPr>
        <w:pStyle w:val="Normal"/>
        <w:spacing w:lineRule="auto" w:line="240"/>
        <w:rPr>
          <w:rFonts w:ascii="Calibri" w:hAnsi="Calibri" w:eastAsia="Times New Roman" w:cs="Calibri"/>
          <w:color w:val="000000"/>
          <w:kern w:val="2"/>
          <w:sz w:val="20"/>
          <w:szCs w:val="20"/>
        </w:rPr>
      </w:pPr>
      <w:r>
        <w:rPr>
          <w:rFonts w:eastAsia="Times New Roman" w:cs="Times New Roman"/>
          <w:kern w:val="2"/>
          <w:sz w:val="20"/>
          <w:szCs w:val="20"/>
        </w:rPr>
        <w:t xml:space="preserve">Wyjaśnienia: Oceny etapu realizacji projektu na koniec roku, za który sporządza się Raport, należy dokonać wg następujących kryteriów </w:t>
      </w:r>
      <w:r>
        <w:rPr>
          <w:rFonts w:eastAsia="Times New Roman" w:cs="Calibri"/>
          <w:color w:val="000000"/>
          <w:kern w:val="2"/>
          <w:sz w:val="20"/>
          <w:szCs w:val="20"/>
        </w:rPr>
        <w:t xml:space="preserve">zaawansowania prac: </w:t>
      </w:r>
    </w:p>
    <w:p>
      <w:pPr>
        <w:pStyle w:val="Normal"/>
        <w:spacing w:lineRule="auto" w:line="240"/>
        <w:rPr>
          <w:rFonts w:ascii="Calibri" w:hAnsi="Calibri" w:eastAsia="Times New Roman" w:cs="Calibri"/>
          <w:color w:val="000000"/>
          <w:kern w:val="2"/>
          <w:sz w:val="20"/>
          <w:szCs w:val="20"/>
        </w:rPr>
      </w:pPr>
      <w:r>
        <w:rPr>
          <w:rFonts w:eastAsia="Times New Roman" w:cs="Calibri"/>
          <w:color w:val="000000"/>
          <w:kern w:val="2"/>
          <w:sz w:val="20"/>
          <w:szCs w:val="20"/>
        </w:rPr>
        <w:t>1) etap „zero” – prace nie zostały rozpoczęte,</w:t>
      </w:r>
    </w:p>
    <w:p>
      <w:pPr>
        <w:pStyle w:val="Normal"/>
        <w:spacing w:lineRule="auto" w:line="240"/>
        <w:rPr>
          <w:rFonts w:ascii="Calibri" w:hAnsi="Calibri" w:eastAsia="Times New Roman" w:cs="Calibri"/>
          <w:color w:val="000000"/>
          <w:kern w:val="2"/>
          <w:sz w:val="20"/>
          <w:szCs w:val="20"/>
        </w:rPr>
      </w:pPr>
      <w:r>
        <w:rPr>
          <w:rFonts w:eastAsia="Times New Roman" w:cs="Calibri"/>
          <w:color w:val="000000"/>
          <w:kern w:val="2"/>
          <w:sz w:val="20"/>
          <w:szCs w:val="20"/>
        </w:rPr>
        <w:t xml:space="preserve">2) etap I – prace w fazie przygotowawczej - etap obejmuje opracowanie koncepcji projektu i harmonogramu prac, powołanie partnerów społecznych, </w:t>
      </w:r>
    </w:p>
    <w:p>
      <w:pPr>
        <w:pStyle w:val="Normal"/>
        <w:spacing w:lineRule="auto" w:line="240"/>
        <w:rPr>
          <w:rFonts w:ascii="Calibri" w:hAnsi="Calibri" w:eastAsia="Times New Roman" w:cs="Calibri"/>
          <w:color w:val="000000"/>
          <w:kern w:val="2"/>
          <w:sz w:val="20"/>
          <w:szCs w:val="20"/>
        </w:rPr>
      </w:pPr>
      <w:r>
        <w:rPr>
          <w:rFonts w:eastAsia="Times New Roman" w:cs="Calibri"/>
          <w:color w:val="000000"/>
          <w:kern w:val="2"/>
          <w:sz w:val="20"/>
          <w:szCs w:val="20"/>
        </w:rPr>
        <w:t xml:space="preserve">3) etap II – prace realizacyjne w fazie początkowej, </w:t>
      </w:r>
    </w:p>
    <w:p>
      <w:pPr>
        <w:pStyle w:val="Normal"/>
        <w:spacing w:lineRule="auto" w:line="240"/>
        <w:rPr>
          <w:rFonts w:ascii="Calibri" w:hAnsi="Calibri" w:eastAsia="Times New Roman" w:cs="Calibri"/>
          <w:color w:val="000000"/>
          <w:kern w:val="2"/>
          <w:sz w:val="20"/>
          <w:szCs w:val="20"/>
        </w:rPr>
      </w:pPr>
      <w:r>
        <w:rPr>
          <w:rFonts w:eastAsia="Times New Roman" w:cs="Calibri"/>
          <w:color w:val="000000"/>
          <w:kern w:val="2"/>
          <w:sz w:val="20"/>
          <w:szCs w:val="20"/>
        </w:rPr>
        <w:t>4) etap III – prace realizacyjne w fazie zaawansowanej,</w:t>
      </w:r>
    </w:p>
    <w:p>
      <w:pPr>
        <w:pStyle w:val="Normal"/>
        <w:spacing w:lineRule="auto" w:line="240"/>
        <w:rPr>
          <w:rFonts w:ascii="Calibri" w:hAnsi="Calibri" w:eastAsia="Times New Roman" w:cs="Calibri"/>
          <w:color w:val="000000"/>
          <w:kern w:val="2"/>
          <w:sz w:val="20"/>
          <w:szCs w:val="20"/>
        </w:rPr>
      </w:pPr>
      <w:r>
        <w:rPr>
          <w:rFonts w:eastAsia="Times New Roman" w:cs="Calibri"/>
          <w:color w:val="000000"/>
          <w:kern w:val="2"/>
          <w:sz w:val="20"/>
          <w:szCs w:val="20"/>
        </w:rPr>
        <w:t>Wskazuje się następujące możliwości oceny zaawansowania:</w:t>
      </w:r>
    </w:p>
    <w:p>
      <w:pPr>
        <w:pStyle w:val="Normal"/>
        <w:numPr>
          <w:ilvl w:val="0"/>
          <w:numId w:val="16"/>
        </w:numPr>
        <w:spacing w:lineRule="auto" w:line="276" w:before="0" w:after="160"/>
        <w:contextualSpacing/>
        <w:jc w:val="both"/>
        <w:rPr>
          <w:rFonts w:ascii="Calibri" w:hAnsi="Calibri" w:eastAsia="Times New Roman" w:cs="Calibri"/>
          <w:color w:val="000000"/>
          <w:kern w:val="2"/>
          <w:sz w:val="20"/>
          <w:szCs w:val="20"/>
          <w:u w:val="single"/>
        </w:rPr>
      </w:pPr>
      <w:r>
        <w:rPr>
          <w:rFonts w:eastAsia="Times New Roman" w:cs="Calibri"/>
          <w:color w:val="000000"/>
          <w:kern w:val="2"/>
          <w:sz w:val="20"/>
          <w:szCs w:val="20"/>
        </w:rPr>
        <w:t xml:space="preserve">w przypadku projektów o charakterze wieloletnim, za </w:t>
      </w:r>
      <w:r>
        <w:rPr>
          <w:rFonts w:eastAsia="Times New Roman" w:cs="Calibri"/>
          <w:i/>
          <w:iCs/>
          <w:color w:val="000000"/>
          <w:kern w:val="2"/>
          <w:sz w:val="20"/>
          <w:szCs w:val="20"/>
        </w:rPr>
        <w:t xml:space="preserve">prace realizacyjne w fazie początkowej </w:t>
      </w:r>
      <w:r>
        <w:rPr>
          <w:rFonts w:eastAsia="Times New Roman" w:cs="Calibri"/>
          <w:color w:val="000000"/>
          <w:kern w:val="2"/>
          <w:sz w:val="20"/>
          <w:szCs w:val="20"/>
        </w:rPr>
        <w:t>(etap II) należy uznać prace realizowane do osiągnięcia 30% założonego czasu realizacji projektu;</w:t>
        <w:br/>
        <w:t xml:space="preserve"> po przekroczeniu tej wartości stan zaawansowania ocenia się jako </w:t>
      </w:r>
      <w:r>
        <w:rPr>
          <w:rFonts w:eastAsia="Times New Roman" w:cs="Calibri"/>
          <w:i/>
          <w:iCs/>
          <w:color w:val="000000"/>
          <w:kern w:val="2"/>
          <w:sz w:val="20"/>
          <w:szCs w:val="20"/>
        </w:rPr>
        <w:t xml:space="preserve">prace realizacyjne w fazie zaawansowanej </w:t>
      </w:r>
      <w:r>
        <w:rPr>
          <w:rFonts w:eastAsia="Times New Roman" w:cs="Calibri"/>
          <w:color w:val="000000"/>
          <w:kern w:val="2"/>
          <w:sz w:val="20"/>
          <w:szCs w:val="20"/>
        </w:rPr>
        <w:t xml:space="preserve">(etap III); alternatywnie dopuszcza się pomiar na podstawie zaangażowania środków, </w:t>
        <w:br/>
        <w:t xml:space="preserve">to znaczy za </w:t>
      </w:r>
      <w:r>
        <w:rPr>
          <w:rFonts w:eastAsia="Times New Roman" w:cs="Calibri"/>
          <w:i/>
          <w:iCs/>
          <w:color w:val="000000"/>
          <w:kern w:val="2"/>
          <w:sz w:val="20"/>
          <w:szCs w:val="20"/>
        </w:rPr>
        <w:t xml:space="preserve">prace realizacyjne w fazie początkowej </w:t>
      </w:r>
      <w:r>
        <w:rPr>
          <w:rFonts w:eastAsia="Times New Roman" w:cs="Calibri"/>
          <w:color w:val="000000"/>
          <w:kern w:val="2"/>
          <w:sz w:val="20"/>
          <w:szCs w:val="20"/>
        </w:rPr>
        <w:t xml:space="preserve">(etap II) należy uznać prace realizowane do osiągnięcia 30% założonego wydatkowania środków; po przekroczeniu tej wartości stan zaawansowania ocenia się jako </w:t>
      </w:r>
      <w:r>
        <w:rPr>
          <w:rFonts w:eastAsia="Times New Roman" w:cs="Calibri"/>
          <w:i/>
          <w:iCs/>
          <w:color w:val="000000"/>
          <w:kern w:val="2"/>
          <w:sz w:val="20"/>
          <w:szCs w:val="20"/>
        </w:rPr>
        <w:t xml:space="preserve">prace realizacyjne w fazie zaawansowanej </w:t>
      </w:r>
      <w:r>
        <w:rPr>
          <w:rFonts w:eastAsia="Times New Roman" w:cs="Calibri"/>
          <w:color w:val="000000"/>
          <w:kern w:val="2"/>
          <w:sz w:val="20"/>
          <w:szCs w:val="20"/>
        </w:rPr>
        <w:t xml:space="preserve">(etap III); </w:t>
      </w:r>
      <w:r>
        <w:rPr>
          <w:rFonts w:eastAsia="Times New Roman" w:cs="Calibri"/>
          <w:color w:val="000000"/>
          <w:kern w:val="2"/>
          <w:sz w:val="20"/>
          <w:szCs w:val="20"/>
          <w:u w:val="single"/>
        </w:rPr>
        <w:t xml:space="preserve">raz przyjętą metodę pomiaru należy stosować do zakończenia projektu, </w:t>
      </w:r>
    </w:p>
    <w:p>
      <w:pPr>
        <w:pStyle w:val="Normal"/>
        <w:numPr>
          <w:ilvl w:val="0"/>
          <w:numId w:val="16"/>
        </w:numPr>
        <w:spacing w:lineRule="auto" w:line="276" w:before="0" w:after="160"/>
        <w:contextualSpacing/>
        <w:jc w:val="both"/>
        <w:rPr>
          <w:rFonts w:ascii="Calibri" w:hAnsi="Calibri" w:eastAsia="Times New Roman" w:cs="Calibri"/>
          <w:color w:val="000000"/>
          <w:kern w:val="2"/>
          <w:sz w:val="20"/>
          <w:szCs w:val="20"/>
        </w:rPr>
      </w:pPr>
      <w:r>
        <w:rPr>
          <w:rFonts w:eastAsia="Times New Roman" w:cs="Calibri"/>
          <w:color w:val="000000"/>
          <w:kern w:val="2"/>
          <w:sz w:val="20"/>
          <w:szCs w:val="20"/>
        </w:rPr>
        <w:t xml:space="preserve">w przypadku projektów, których postęp mierzony jest poprzez sukcesywne narastanie wartości wskaźnika, zmierzające do osiągnięcia założonej wartości docelowej, za </w:t>
      </w:r>
      <w:r>
        <w:rPr>
          <w:rFonts w:eastAsia="Times New Roman" w:cs="Calibri"/>
          <w:i/>
          <w:iCs/>
          <w:color w:val="000000"/>
          <w:kern w:val="2"/>
          <w:sz w:val="20"/>
          <w:szCs w:val="20"/>
        </w:rPr>
        <w:t xml:space="preserve">prace realizacyjne w fazie początkowej </w:t>
      </w:r>
      <w:r>
        <w:rPr>
          <w:rFonts w:eastAsia="Times New Roman" w:cs="Calibri"/>
          <w:color w:val="000000"/>
          <w:kern w:val="2"/>
          <w:sz w:val="20"/>
          <w:szCs w:val="20"/>
        </w:rPr>
        <w:t xml:space="preserve">(etap II) należy uznać prace realizowane do osiągnięcia 30% założonej w projekcie wartości wskaźnika docelowego; po przekroczeniu tej wartości stan zaawansowania ocenia się jako </w:t>
      </w:r>
      <w:r>
        <w:rPr>
          <w:rFonts w:eastAsia="Times New Roman" w:cs="Calibri"/>
          <w:i/>
          <w:iCs/>
          <w:color w:val="000000"/>
          <w:kern w:val="2"/>
          <w:sz w:val="20"/>
          <w:szCs w:val="20"/>
        </w:rPr>
        <w:t xml:space="preserve">prace realizacyjne w fazie zaawansowanej </w:t>
      </w:r>
      <w:r>
        <w:rPr>
          <w:rFonts w:eastAsia="Times New Roman" w:cs="Calibri"/>
          <w:color w:val="000000"/>
          <w:kern w:val="2"/>
          <w:sz w:val="20"/>
          <w:szCs w:val="20"/>
        </w:rPr>
        <w:t>(etap III),</w:t>
      </w:r>
    </w:p>
    <w:p>
      <w:pPr>
        <w:pStyle w:val="Normal"/>
        <w:numPr>
          <w:ilvl w:val="0"/>
          <w:numId w:val="16"/>
        </w:numPr>
        <w:spacing w:lineRule="auto" w:line="276" w:before="0" w:after="160"/>
        <w:contextualSpacing/>
        <w:jc w:val="both"/>
        <w:rPr>
          <w:rFonts w:ascii="Calibri" w:hAnsi="Calibri" w:eastAsia="Times New Roman" w:cs="Calibri"/>
          <w:color w:val="000000"/>
          <w:kern w:val="2"/>
          <w:sz w:val="20"/>
          <w:szCs w:val="20"/>
        </w:rPr>
      </w:pPr>
      <w:r>
        <w:rPr>
          <w:rFonts w:eastAsia="Times New Roman" w:cs="Calibri"/>
          <w:color w:val="000000"/>
          <w:kern w:val="2"/>
          <w:sz w:val="20"/>
          <w:szCs w:val="20"/>
        </w:rPr>
        <w:t xml:space="preserve">w przypadku projektów, które składają się z określonej liczby zaplanowanych do realizacji działań, </w:t>
        <w:br/>
        <w:t xml:space="preserve">za </w:t>
      </w:r>
      <w:r>
        <w:rPr>
          <w:rFonts w:eastAsia="Times New Roman" w:cs="Calibri"/>
          <w:i/>
          <w:iCs/>
          <w:color w:val="000000"/>
          <w:kern w:val="2"/>
          <w:sz w:val="20"/>
          <w:szCs w:val="20"/>
        </w:rPr>
        <w:t xml:space="preserve">prace realizacyjne w fazie początkowej </w:t>
      </w:r>
      <w:r>
        <w:rPr>
          <w:rFonts w:eastAsia="Times New Roman" w:cs="Calibri"/>
          <w:color w:val="000000"/>
          <w:kern w:val="2"/>
          <w:sz w:val="20"/>
          <w:szCs w:val="20"/>
        </w:rPr>
        <w:t xml:space="preserve">(etap II) należy uznać prace realizowane do osiągnięcia 30% łącznej liczby określonych do wykonania działań; po przekroczeniu tej wartości stan zaawansowania ocenia się jako </w:t>
      </w:r>
      <w:r>
        <w:rPr>
          <w:rFonts w:eastAsia="Times New Roman" w:cs="Calibri"/>
          <w:i/>
          <w:iCs/>
          <w:color w:val="000000"/>
          <w:kern w:val="2"/>
          <w:sz w:val="20"/>
          <w:szCs w:val="20"/>
        </w:rPr>
        <w:t xml:space="preserve">prace realizacyjne w fazie zaawansowanej </w:t>
      </w:r>
      <w:r>
        <w:rPr>
          <w:rFonts w:eastAsia="Times New Roman" w:cs="Calibri"/>
          <w:color w:val="000000"/>
          <w:kern w:val="2"/>
          <w:sz w:val="20"/>
          <w:szCs w:val="20"/>
        </w:rPr>
        <w:t>(etap III),</w:t>
      </w:r>
    </w:p>
    <w:p>
      <w:pPr>
        <w:pStyle w:val="Normal"/>
        <w:numPr>
          <w:ilvl w:val="0"/>
          <w:numId w:val="16"/>
        </w:numPr>
        <w:spacing w:lineRule="auto" w:line="276" w:before="0" w:after="160"/>
        <w:contextualSpacing/>
        <w:jc w:val="both"/>
        <w:rPr>
          <w:rFonts w:ascii="Calibri" w:hAnsi="Calibri" w:eastAsia="Times New Roman" w:cs="Calibri"/>
          <w:color w:val="000000"/>
          <w:kern w:val="2"/>
          <w:sz w:val="20"/>
          <w:szCs w:val="20"/>
        </w:rPr>
      </w:pPr>
      <w:r>
        <w:rPr>
          <w:rFonts w:eastAsia="Times New Roman" w:cs="Calibri"/>
          <w:color w:val="000000"/>
          <w:kern w:val="2"/>
          <w:sz w:val="20"/>
          <w:szCs w:val="20"/>
        </w:rPr>
        <w:t xml:space="preserve">w przypadku projektów o charakterze inwestycyjnym, za </w:t>
      </w:r>
      <w:r>
        <w:rPr>
          <w:rFonts w:eastAsia="Times New Roman" w:cs="Calibri"/>
          <w:i/>
          <w:iCs/>
          <w:color w:val="000000"/>
          <w:kern w:val="2"/>
          <w:sz w:val="20"/>
          <w:szCs w:val="20"/>
        </w:rPr>
        <w:t xml:space="preserve">prace realizacyjne w fazie początkowej </w:t>
      </w:r>
      <w:r>
        <w:rPr>
          <w:rFonts w:eastAsia="Times New Roman" w:cs="Calibri"/>
          <w:color w:val="000000"/>
          <w:kern w:val="2"/>
          <w:sz w:val="20"/>
          <w:szCs w:val="20"/>
        </w:rPr>
        <w:t xml:space="preserve">(etap II) należy uznać prace projektowe oraz uzyskanie niezbędnych pozwoleń i uzgodnień, natomiast za </w:t>
      </w:r>
      <w:r>
        <w:rPr>
          <w:rFonts w:eastAsia="Times New Roman" w:cs="Calibri"/>
          <w:i/>
          <w:iCs/>
          <w:color w:val="000000"/>
          <w:kern w:val="2"/>
          <w:sz w:val="20"/>
          <w:szCs w:val="20"/>
        </w:rPr>
        <w:t xml:space="preserve">prace realizacyjne w fazie zaawansowanej </w:t>
      </w:r>
      <w:r>
        <w:rPr>
          <w:rFonts w:eastAsia="Times New Roman" w:cs="Calibri"/>
          <w:color w:val="000000"/>
          <w:kern w:val="2"/>
          <w:sz w:val="20"/>
          <w:szCs w:val="20"/>
        </w:rPr>
        <w:t>(etap III) uznaje się fizyczne wykonawstwo prac,</w:t>
      </w:r>
    </w:p>
    <w:p>
      <w:pPr>
        <w:pStyle w:val="Normal"/>
        <w:numPr>
          <w:ilvl w:val="0"/>
          <w:numId w:val="16"/>
        </w:numPr>
        <w:spacing w:lineRule="auto" w:line="276" w:before="0" w:after="160"/>
        <w:contextualSpacing/>
        <w:jc w:val="both"/>
        <w:rPr>
          <w:rFonts w:eastAsia="Times New Roman" w:cs="Times New Roman"/>
          <w:kern w:val="2"/>
          <w:sz w:val="20"/>
          <w:szCs w:val="20"/>
        </w:rPr>
      </w:pPr>
      <w:r>
        <w:rPr>
          <w:rFonts w:eastAsia="Times New Roman" w:cs="Calibri"/>
          <w:color w:val="000000"/>
          <w:kern w:val="2"/>
          <w:sz w:val="20"/>
          <w:szCs w:val="20"/>
        </w:rPr>
        <w:t>w przypadku projektów, których ocena stopnia zaawansowania nie mieści się w podanych powyżej kryteriach, następuje ocena indywidualna.</w:t>
      </w:r>
    </w:p>
    <w:p>
      <w:pPr>
        <w:pStyle w:val="Normal"/>
        <w:spacing w:lineRule="auto" w:line="276"/>
        <w:jc w:val="both"/>
        <w:rPr>
          <w:rFonts w:ascii="Calibri" w:hAnsi="Calibri" w:eastAsia="Times New Roman" w:cs="Calibri"/>
          <w:color w:val="000000"/>
          <w:kern w:val="2"/>
          <w:sz w:val="20"/>
          <w:szCs w:val="20"/>
        </w:rPr>
      </w:pPr>
      <w:r>
        <w:rPr>
          <w:rFonts w:eastAsia="Times New Roman" w:cs="Calibri"/>
          <w:color w:val="000000"/>
          <w:kern w:val="2"/>
          <w:sz w:val="20"/>
          <w:szCs w:val="20"/>
        </w:rPr>
        <w:t>5) etap IV – prace zostały zakończone, projekt został zrealizowany.</w:t>
      </w:r>
    </w:p>
    <w:p>
      <w:pPr>
        <w:pStyle w:val="Normal"/>
        <w:spacing w:lineRule="auto" w:line="276"/>
        <w:jc w:val="both"/>
        <w:rPr>
          <w:rFonts w:eastAsia="Times New Roman" w:cs="Times New Roman"/>
          <w:kern w:val="2"/>
          <w:sz w:val="20"/>
          <w:szCs w:val="20"/>
        </w:rPr>
      </w:pPr>
      <w:r>
        <w:rPr>
          <w:rFonts w:eastAsia="Times New Roman" w:cs="Times New Roman"/>
          <w:kern w:val="2"/>
          <w:sz w:val="20"/>
          <w:szCs w:val="20"/>
        </w:rPr>
        <w:t xml:space="preserve">6) etap „rezygnacja z projektu” – dotyczy projektów, od których realizacji odstąpiono w danym roku, projekt nie będzie reaktywowany, przy aktualizacji dokumentu strategii, projekt zostanie usunięty z listy projektów. </w:t>
      </w:r>
    </w:p>
    <w:p>
      <w:pPr>
        <w:pStyle w:val="Normal"/>
        <w:spacing w:lineRule="auto" w:line="259"/>
        <w:rPr>
          <w:rFonts w:eastAsia="Times New Roman" w:cs="Times New Roman"/>
          <w:kern w:val="2"/>
        </w:rPr>
      </w:pPr>
      <w:r>
        <w:rPr>
          <w:rFonts w:eastAsia="Times New Roman" w:cs="Times New Roman"/>
          <w:kern w:val="2"/>
        </w:rPr>
      </w:r>
    </w:p>
    <w:p>
      <w:pPr>
        <w:pStyle w:val="Normal"/>
        <w:spacing w:lineRule="auto" w:line="259"/>
        <w:rPr>
          <w:rFonts w:eastAsia="Times New Roman" w:cs="Times New Roman"/>
          <w:kern w:val="2"/>
        </w:rPr>
      </w:pPr>
      <w:r>
        <w:rPr>
          <w:rFonts w:eastAsia="Times New Roman" w:cs="Times New Roman"/>
          <w:kern w:val="2"/>
        </w:rPr>
        <w:t>Wzór „Karty monitorowania stanu realizacji wskaźników strategii”</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68"/>
        <w:gridCol w:w="1555"/>
        <w:gridCol w:w="806"/>
        <w:gridCol w:w="850"/>
        <w:gridCol w:w="750"/>
        <w:gridCol w:w="802"/>
        <w:gridCol w:w="802"/>
        <w:gridCol w:w="663"/>
        <w:gridCol w:w="663"/>
      </w:tblGrid>
      <w:tr>
        <w:trPr/>
        <w:tc>
          <w:tcPr>
            <w:tcW w:w="9059" w:type="dxa"/>
            <w:gridSpan w:val="9"/>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Stan realizacji wskaźników strategii</w:t>
            </w:r>
          </w:p>
        </w:tc>
      </w:tr>
      <w:tr>
        <w:trPr/>
        <w:tc>
          <w:tcPr>
            <w:tcW w:w="2168" w:type="dxa"/>
            <w:vMerge w:val="restart"/>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Nazwa i miara wskaźnika</w:t>
            </w:r>
          </w:p>
        </w:tc>
        <w:tc>
          <w:tcPr>
            <w:tcW w:w="1555" w:type="dxa"/>
            <w:vMerge w:val="restart"/>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Wartość docelowa zadeklarowana w strategii</w:t>
            </w:r>
          </w:p>
        </w:tc>
        <w:tc>
          <w:tcPr>
            <w:tcW w:w="5336" w:type="dxa"/>
            <w:gridSpan w:val="7"/>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Stan wskaźnika na koniec roku:</w:t>
            </w:r>
          </w:p>
        </w:tc>
      </w:tr>
      <w:tr>
        <w:trPr/>
        <w:tc>
          <w:tcPr>
            <w:tcW w:w="2168" w:type="dxa"/>
            <w:vMerge w:val="continue"/>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1555" w:type="dxa"/>
            <w:vMerge w:val="continue"/>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t>2023</w:t>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2024</w:t>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2025</w:t>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2026</w:t>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2027</w:t>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2028</w:t>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t>2029</w:t>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Wskaźniki dla projektów z zakresu CP1</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 1</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 2</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Wskaźniki dla projektów z zakresu CP2</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 1</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 2</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t>
            </w:r>
          </w:p>
        </w:tc>
        <w:tc>
          <w:tcPr>
            <w:tcW w:w="1555"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c>
          <w:tcPr>
            <w:tcW w:w="806" w:type="dxa"/>
            <w:tcBorders/>
          </w:tcPr>
          <w:p>
            <w:pPr>
              <w:pStyle w:val="Normal"/>
              <w:widowControl/>
              <w:spacing w:lineRule="auto" w:line="240" w:before="0" w:after="0"/>
              <w:jc w:val="left"/>
              <w:rPr>
                <w:rFonts w:eastAsia="Times New Roman" w:cs="Times New Roman"/>
                <w:kern w:val="2"/>
              </w:rPr>
            </w:pPr>
            <w:r>
              <w:rPr>
                <w:rFonts w:eastAsia="Times New Roman" w:cs="Times New Roman"/>
                <w:kern w:val="2"/>
                <w:sz w:val="22"/>
                <w:szCs w:val="22"/>
                <w:lang w:val="pl-PL" w:eastAsia="en-US" w:bidi="ar-SA"/>
              </w:rPr>
            </w:r>
          </w:p>
        </w:tc>
        <w:tc>
          <w:tcPr>
            <w:tcW w:w="8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750"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802"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c>
          <w:tcPr>
            <w:tcW w:w="663" w:type="dxa"/>
            <w:tcBorders/>
          </w:tcPr>
          <w:p>
            <w:pPr>
              <w:pStyle w:val="Normal"/>
              <w:widowControl/>
              <w:spacing w:lineRule="auto" w:line="240" w:before="0" w:after="0"/>
              <w:jc w:val="center"/>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9059" w:type="dxa"/>
            <w:gridSpan w:val="9"/>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Dodatkowe informacje/wyjaśnienia dotyczące stanu realizacji wskaźników – jeśli zachodzi taka potrzeba</w:t>
            </w:r>
            <w:r>
              <w:rPr>
                <w:rStyle w:val="Zakotwiczenieprzypisudolnego"/>
                <w:rFonts w:eastAsia="Times New Roman" w:cs="Times New Roman"/>
                <w:kern w:val="2"/>
                <w:sz w:val="20"/>
                <w:szCs w:val="20"/>
                <w:vertAlign w:val="superscript"/>
                <w:lang w:val="pl-PL" w:eastAsia="en-US" w:bidi="ar-SA"/>
              </w:rPr>
              <w:footnoteReference w:id="53"/>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 x</w:t>
            </w:r>
          </w:p>
        </w:tc>
        <w:tc>
          <w:tcPr>
            <w:tcW w:w="6891" w:type="dxa"/>
            <w:gridSpan w:val="8"/>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 y</w:t>
            </w:r>
          </w:p>
        </w:tc>
        <w:tc>
          <w:tcPr>
            <w:tcW w:w="6891" w:type="dxa"/>
            <w:gridSpan w:val="8"/>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Wskaźnik z</w:t>
            </w:r>
          </w:p>
        </w:tc>
        <w:tc>
          <w:tcPr>
            <w:tcW w:w="6891" w:type="dxa"/>
            <w:gridSpan w:val="8"/>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r>
      <w:tr>
        <w:trPr/>
        <w:tc>
          <w:tcPr>
            <w:tcW w:w="2168" w:type="dxa"/>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t>…</w:t>
            </w:r>
          </w:p>
        </w:tc>
        <w:tc>
          <w:tcPr>
            <w:tcW w:w="6891" w:type="dxa"/>
            <w:gridSpan w:val="8"/>
            <w:tcBorders/>
          </w:tcPr>
          <w:p>
            <w:pPr>
              <w:pStyle w:val="Normal"/>
              <w:widowControl/>
              <w:spacing w:lineRule="auto" w:line="240" w:before="0" w:after="0"/>
              <w:jc w:val="left"/>
              <w:rPr>
                <w:rFonts w:eastAsia="Times New Roman" w:cs="Times New Roman"/>
                <w:kern w:val="2"/>
                <w:sz w:val="20"/>
                <w:szCs w:val="20"/>
              </w:rPr>
            </w:pPr>
            <w:r>
              <w:rPr>
                <w:rFonts w:eastAsia="Times New Roman" w:cs="Times New Roman"/>
                <w:kern w:val="2"/>
                <w:sz w:val="20"/>
                <w:szCs w:val="20"/>
                <w:lang w:val="pl-PL" w:eastAsia="en-US" w:bidi="ar-SA"/>
              </w:rPr>
            </w:r>
          </w:p>
        </w:tc>
      </w:tr>
    </w:tbl>
    <w:p>
      <w:pPr>
        <w:pStyle w:val="Normal"/>
        <w:spacing w:lineRule="auto" w:line="259"/>
        <w:rPr>
          <w:rFonts w:eastAsia="Times New Roman" w:cs="Times New Roman"/>
          <w:kern w:val="2"/>
        </w:rPr>
      </w:pPr>
      <w:r>
        <w:rPr>
          <w:rFonts w:eastAsia="Times New Roman" w:cs="Times New Roman"/>
          <w:kern w:val="2"/>
        </w:rPr>
      </w:r>
    </w:p>
    <w:p>
      <w:pPr>
        <w:pStyle w:val="Normal"/>
        <w:rPr/>
      </w:pPr>
      <w:r>
        <w:rPr/>
      </w:r>
    </w:p>
    <w:p>
      <w:pPr>
        <w:pStyle w:val="Normal"/>
        <w:rPr/>
      </w:pPr>
      <w:r>
        <w:rPr/>
      </w:r>
    </w:p>
    <w:p>
      <w:pPr>
        <w:pStyle w:val="Normal"/>
        <w:spacing w:lineRule="auto" w:line="240" w:before="0" w:after="0"/>
        <w:rPr/>
      </w:pPr>
      <w:r>
        <w:rPr/>
      </w:r>
    </w:p>
    <w:p>
      <w:pPr>
        <w:pStyle w:val="Normal"/>
        <w:spacing w:lineRule="auto" w:line="240" w:before="0" w:after="0"/>
        <w:rPr>
          <w:b/>
          <w:bCs/>
        </w:rPr>
      </w:pPr>
      <w:r>
        <w:rPr>
          <w:b/>
          <w:bCs/>
        </w:rPr>
        <w:t>Spis wykresów</w:t>
      </w:r>
    </w:p>
    <w:p>
      <w:pPr>
        <w:pStyle w:val="Normal"/>
        <w:spacing w:lineRule="auto" w:line="240" w:before="0" w:after="0"/>
        <w:rPr/>
      </w:pPr>
      <w:r>
        <w:rPr/>
      </w:r>
    </w:p>
    <w:p>
      <w:pPr>
        <w:pStyle w:val="Normal"/>
        <w:spacing w:lineRule="auto" w:line="276" w:before="0" w:after="0"/>
        <w:rPr/>
      </w:pPr>
      <w:r>
        <w:rPr/>
        <w:t>Wykres 1. Emisje z transportu w Unii Europejskiej…………………………………………………………………………...23</w:t>
      </w:r>
    </w:p>
    <w:p>
      <w:pPr>
        <w:pStyle w:val="Normal"/>
        <w:spacing w:lineRule="auto" w:line="276" w:before="0" w:after="0"/>
        <w:rPr/>
      </w:pPr>
      <w:r>
        <w:rPr/>
        <w:t>Wykres 2. Zainteresowanie poszczególnymi środkami transportu...………………..........……………………....24</w:t>
      </w:r>
    </w:p>
    <w:p>
      <w:pPr>
        <w:pStyle w:val="Normal"/>
        <w:spacing w:lineRule="auto" w:line="276" w:before="0" w:after="0"/>
        <w:rPr/>
      </w:pPr>
      <w:r>
        <w:rPr/>
        <w:t>Wykres 3. Regularnie wykorzystywane środki transportu a początkowy punkt podróży.............……...25</w:t>
      </w:r>
    </w:p>
    <w:p>
      <w:pPr>
        <w:pStyle w:val="Normal"/>
        <w:spacing w:lineRule="auto" w:line="276" w:before="0" w:after="0"/>
        <w:rPr/>
      </w:pPr>
      <w:r>
        <w:rPr/>
        <w:t>Wykres 4. Czynniki decydujące o wyborze środka transportu...............…………………………………………....26</w:t>
      </w:r>
    </w:p>
    <w:p>
      <w:pPr>
        <w:pStyle w:val="Normal"/>
        <w:spacing w:lineRule="auto" w:line="276" w:before="0" w:after="0"/>
        <w:rPr/>
      </w:pPr>
      <w:r>
        <w:rPr/>
        <w:t>Wykres 5. Czynniki mogące wpłynąć na ograniczenie korzystania z samochodu..............………………...27</w:t>
      </w:r>
    </w:p>
    <w:p>
      <w:pPr>
        <w:pStyle w:val="Normal"/>
        <w:rPr/>
      </w:pPr>
      <w:r>
        <w:rPr/>
      </w:r>
    </w:p>
    <w:p>
      <w:pPr>
        <w:pStyle w:val="Normal"/>
        <w:rPr>
          <w:b/>
          <w:bCs/>
        </w:rPr>
      </w:pPr>
      <w:r>
        <w:rPr>
          <w:b/>
          <w:bCs/>
        </w:rPr>
        <w:t>Spis map</w:t>
      </w:r>
    </w:p>
    <w:p>
      <w:pPr>
        <w:pStyle w:val="Normal"/>
        <w:spacing w:lineRule="auto" w:line="276" w:before="0" w:after="0"/>
        <w:rPr/>
      </w:pPr>
      <w:r>
        <w:rPr/>
        <w:t>Mapa 1. Zasięg przestrzenny MOF……………………………………………………………………………………………………..5</w:t>
      </w:r>
    </w:p>
    <w:p>
      <w:pPr>
        <w:pStyle w:val="Normal"/>
        <w:spacing w:lineRule="auto" w:line="276" w:before="0" w:after="0"/>
        <w:rPr/>
      </w:pPr>
      <w:r>
        <w:rPr/>
        <w:t>Mapa 2. Liczba ludności w miejscowościach MOF………………………………………………………………………………7</w:t>
      </w:r>
    </w:p>
    <w:p>
      <w:pPr>
        <w:pStyle w:val="Normal"/>
        <w:spacing w:lineRule="auto" w:line="276" w:before="0" w:after="0"/>
        <w:rPr/>
      </w:pPr>
      <w:r>
        <w:rPr/>
        <w:t>Mapa 3. Lesistość w gminach województwa kujawsko-pomorskiego……………….………………………………..9</w:t>
      </w:r>
    </w:p>
    <w:p>
      <w:pPr>
        <w:pStyle w:val="Normal"/>
        <w:spacing w:lineRule="auto" w:line="276" w:before="0" w:after="0"/>
        <w:rPr/>
      </w:pPr>
      <w:r>
        <w:rPr/>
        <w:t>Mapa 4. Obszary prawnie chronione w MOF………………………………………………………………………………………9</w:t>
      </w:r>
    </w:p>
    <w:p>
      <w:pPr>
        <w:pStyle w:val="Normal"/>
        <w:spacing w:lineRule="auto" w:line="276" w:before="0" w:after="0"/>
        <w:rPr/>
      </w:pPr>
      <w:r>
        <w:rPr/>
        <w:t>Mapa 5. Najważniejsze elementy sieci transportowej MOF……………………………………………………………...13</w:t>
      </w:r>
    </w:p>
    <w:p>
      <w:pPr>
        <w:pStyle w:val="Normal"/>
        <w:spacing w:lineRule="auto" w:line="276" w:before="0" w:after="0"/>
        <w:rPr/>
      </w:pPr>
      <w:r>
        <w:rPr/>
        <w:t>Mapa 6. Rozmieszczenie placówek POZ w województwie kujawsko-pomorskim w 2021 r……………….39</w:t>
      </w:r>
    </w:p>
    <w:p>
      <w:pPr>
        <w:pStyle w:val="Normal"/>
        <w:spacing w:lineRule="auto" w:line="276" w:before="0" w:after="0"/>
        <w:rPr/>
      </w:pPr>
      <w:r>
        <w:rPr/>
        <w:t>Mapa 7. Przeciętne wyniki egzaminu ósmoklasisty z języka polskiego w latach 2019-2021 w stosunku do średniej wartości wojewódzkiej………………………………………………………………………………………………..…47</w:t>
      </w:r>
    </w:p>
    <w:p>
      <w:pPr>
        <w:pStyle w:val="Normal"/>
        <w:spacing w:lineRule="auto" w:line="276" w:before="0" w:after="0"/>
        <w:rPr/>
      </w:pPr>
      <w:r>
        <w:rPr/>
        <w:t>Mapa 8. Przeciętne wyniki egzaminu ósmoklasisty z matematyki w latach 2019-2021 w stosunku do średniej wartości wojewódzkiej……………………………………………………………………………………………………..…47</w:t>
      </w:r>
    </w:p>
    <w:p>
      <w:pPr>
        <w:pStyle w:val="Normal"/>
        <w:spacing w:lineRule="auto" w:line="276" w:before="0" w:after="0"/>
        <w:rPr/>
      </w:pPr>
      <w:r>
        <w:rPr/>
        <w:t>Mapa 9. Przeciętne wyniki egzaminu ósmoklasisty z języka angielskiego w latach 2019-2021                         w stosunku do średniej wartości wojewódzkiej……………………………………………………………………………..…48</w:t>
      </w:r>
    </w:p>
    <w:p>
      <w:pPr>
        <w:pStyle w:val="Normal"/>
        <w:rPr/>
      </w:pPr>
      <w:r>
        <w:rPr/>
      </w:r>
    </w:p>
    <w:p>
      <w:pPr>
        <w:pStyle w:val="Normal"/>
        <w:rPr>
          <w:b/>
          <w:bCs/>
        </w:rPr>
      </w:pPr>
      <w:r>
        <w:rPr>
          <w:b/>
          <w:bCs/>
        </w:rPr>
        <w:t>Spis tabel</w:t>
      </w:r>
    </w:p>
    <w:p>
      <w:pPr>
        <w:pStyle w:val="Normal"/>
        <w:spacing w:lineRule="auto" w:line="276" w:before="0" w:after="0"/>
        <w:rPr/>
      </w:pPr>
      <w:r>
        <w:rPr/>
        <w:t>Tabela 1. System mobilności WŁOF w 2035r…………………………………………………………………………………….21</w:t>
      </w:r>
    </w:p>
    <w:p>
      <w:pPr>
        <w:pStyle w:val="Normal"/>
        <w:spacing w:lineRule="auto" w:line="276" w:before="0" w:after="0"/>
        <w:ind w:right="-2" w:hanging="0"/>
        <w:rPr/>
      </w:pPr>
      <w:r>
        <w:rPr/>
        <w:t>Tabela 2. Liczba ludności i struktura ekonomicznych grup wieku w 2010 r. i 2020 r……………………..….30</w:t>
      </w:r>
    </w:p>
    <w:p>
      <w:pPr>
        <w:pStyle w:val="Normal"/>
        <w:spacing w:lineRule="auto" w:line="276" w:before="0" w:after="0"/>
        <w:rPr/>
      </w:pPr>
      <w:r>
        <w:rPr/>
        <w:t>Tabela 3. Podmioty gospodarcze wpisane do rejestru REGON na terenie MOF Włocławka w 2020 r..31</w:t>
      </w:r>
    </w:p>
    <w:p>
      <w:pPr>
        <w:pStyle w:val="Normal"/>
        <w:spacing w:lineRule="auto" w:line="276" w:before="0" w:after="0"/>
        <w:rPr/>
      </w:pPr>
      <w:r>
        <w:rPr/>
        <w:t>Tabela 4. Branże charakterystyczne dla MOF (według danych na rok 2020)…………………….……………....32</w:t>
      </w:r>
    </w:p>
    <w:p>
      <w:pPr>
        <w:pStyle w:val="Normal"/>
        <w:spacing w:lineRule="auto" w:line="276" w:before="0" w:after="0"/>
        <w:rPr/>
      </w:pPr>
      <w:r>
        <w:rPr/>
        <w:t>Tabela 5. Bezrobocie rejestrowane na terenie MOF Włocławka w 2010 r. i 2021 r……………………….….35</w:t>
      </w:r>
    </w:p>
    <w:p>
      <w:pPr>
        <w:pStyle w:val="Normal"/>
        <w:spacing w:lineRule="auto" w:line="276" w:before="0" w:after="0"/>
        <w:rPr/>
      </w:pPr>
      <w:r>
        <w:rPr/>
        <w:t>Tabela 6. Pomoc społeczna i świadczenia na rzecz rodziny w MOF Włocławka………………………………...36</w:t>
      </w:r>
    </w:p>
    <w:p>
      <w:pPr>
        <w:pStyle w:val="Normal"/>
        <w:spacing w:lineRule="auto" w:line="276" w:before="0" w:after="0"/>
        <w:ind w:right="-2" w:hanging="0"/>
        <w:rPr/>
      </w:pPr>
      <w:r>
        <w:rPr/>
        <w:t>Tabela 7. Dzieci objęte opieką żłobkową na terenie MOF Włocławka w 2020 r……………………….……….40</w:t>
      </w:r>
    </w:p>
    <w:p>
      <w:pPr>
        <w:pStyle w:val="Normal"/>
        <w:spacing w:lineRule="auto" w:line="276" w:before="0" w:after="0"/>
        <w:rPr/>
      </w:pPr>
      <w:r>
        <w:rPr/>
        <w:t>Tabela 8.  Dzieci objęte wychowaniem przedszkolnym na terenie MOF Włocławka w 2020 r. ……......42</w:t>
      </w:r>
    </w:p>
    <w:p>
      <w:pPr>
        <w:pStyle w:val="Normal"/>
        <w:spacing w:lineRule="auto" w:line="276" w:before="0" w:after="0"/>
        <w:rPr/>
      </w:pPr>
      <w:r>
        <w:rPr/>
        <w:t>Tabela 9. Liczba placówek wychowania przedszkolnego na terenie MOF Włocławka w 2022 r…………43</w:t>
      </w:r>
    </w:p>
    <w:p>
      <w:pPr>
        <w:pStyle w:val="Normal"/>
        <w:spacing w:lineRule="auto" w:line="276" w:before="0" w:after="0"/>
        <w:rPr/>
      </w:pPr>
      <w:r>
        <w:rPr/>
        <w:t xml:space="preserve">Tabela 10.  Wyniki egzaminu ósmoklasisty w latach 2019-2021 na terenie MOF Włocławka </w:t>
        <w:br/>
        <w:t>w stosunku do średniej wartości dla województwa kujawsko-pomorskiego .......................................46</w:t>
      </w:r>
    </w:p>
    <w:p>
      <w:pPr>
        <w:pStyle w:val="Normal"/>
        <w:spacing w:lineRule="auto" w:line="276" w:before="0" w:after="0"/>
        <w:rPr/>
      </w:pPr>
      <w:r>
        <w:rPr/>
        <w:t>Tabela 11.  Wyniki egzaminu maturalnego w latach 2019-2021 w mieście rdzeniowym Włocławek i na obszarze powiatu włocławskiego w stosunku do średniej wartości dla województwa kujawsko-pomorskiego ....................................................…………………………………………………………………………………49</w:t>
      </w:r>
    </w:p>
    <w:p>
      <w:pPr>
        <w:pStyle w:val="Normal"/>
        <w:spacing w:lineRule="auto" w:line="276" w:before="0" w:after="0"/>
        <w:rPr/>
      </w:pPr>
      <w:r>
        <w:rPr/>
        <w:t>Tabela 12.  Obraz wybranych wskaźników będących wyznacznikami poziomu świadomości obywatelskiej  w MOF Włocławka…………………………………………………………………………………………………….53</w:t>
      </w:r>
    </w:p>
    <w:p>
      <w:pPr>
        <w:pStyle w:val="Normal"/>
        <w:spacing w:lineRule="auto" w:line="276" w:before="0" w:after="0"/>
        <w:rPr/>
      </w:pPr>
      <w:r>
        <w:rPr/>
        <w:t>Tabela 13. Zasoby mieszkaniowe i rozwój mieszkalnictwa w MOF Włocławka…..………………………….….54</w:t>
      </w:r>
    </w:p>
    <w:p>
      <w:pPr>
        <w:pStyle w:val="Normal"/>
        <w:spacing w:lineRule="auto" w:line="276" w:before="0" w:after="0"/>
        <w:rPr/>
      </w:pPr>
      <w:r>
        <w:rPr/>
        <w:t>Tabela 14. Drzewo ustaleń ……………………………………………………………………………………………………………….73</w:t>
      </w:r>
    </w:p>
    <w:p>
      <w:pPr>
        <w:pStyle w:val="Normal"/>
        <w:spacing w:lineRule="auto" w:line="276" w:before="0" w:after="0"/>
        <w:rPr/>
      </w:pPr>
      <w:r>
        <w:rPr/>
        <w:t>Tabela 15. Wskaźniki produktu   ………………………………….......................................................................77</w:t>
      </w:r>
    </w:p>
    <w:p>
      <w:pPr>
        <w:pStyle w:val="Normal"/>
        <w:spacing w:lineRule="auto" w:line="276" w:before="0" w:after="0"/>
        <w:rPr/>
      </w:pPr>
      <w:r>
        <w:rPr/>
        <w:t>Tabela 16. Wskaźniki rezultatu .............................................................................................................81</w:t>
      </w:r>
    </w:p>
    <w:p>
      <w:pPr>
        <w:pStyle w:val="Normal"/>
        <w:spacing w:lineRule="auto" w:line="276" w:before="0" w:after="0"/>
        <w:rPr/>
      </w:pPr>
      <w:bookmarkStart w:id="237" w:name="_Hlk139370383"/>
      <w:r>
        <w:rPr/>
        <w:t xml:space="preserve">Tabela 17. </w:t>
      </w:r>
      <w:bookmarkStart w:id="238" w:name="_Hlk139370897"/>
      <w:r>
        <w:rPr/>
        <w:t>Wykazanie zgodności planowanej interwencji z celami i priorytetami określonymi                        w programie FEdKP 2021-2027</w:t>
      </w:r>
      <w:bookmarkEnd w:id="238"/>
      <w:r>
        <w:rPr/>
        <w:t>…………………………………………………………………………………………………………83</w:t>
      </w:r>
      <w:bookmarkEnd w:id="237"/>
    </w:p>
    <w:p>
      <w:pPr>
        <w:pStyle w:val="Normal"/>
        <w:spacing w:lineRule="auto" w:line="276" w:before="0" w:after="0"/>
        <w:rPr/>
      </w:pPr>
      <w:r>
        <w:rPr/>
        <w:t>Tabela 18. Wykazanie zgodności planowanej interwencji z celami i priorytetami określonymi                        w Planie Strategicznym WPR na lata 2023-2027 ……………………………….................................................93</w:t>
      </w:r>
    </w:p>
    <w:p>
      <w:pPr>
        <w:pStyle w:val="Normal"/>
        <w:spacing w:lineRule="auto" w:line="276" w:before="0" w:after="0"/>
        <w:rPr/>
      </w:pPr>
      <w:r>
        <w:rPr/>
        <w:t>Tabela 19. Wykazanie zgodności planowanej interwencji z celami i priorytetami określonymi                        w programie FEdKP 2021-2027…………………………………………………………………………………………………………95</w:t>
      </w:r>
    </w:p>
    <w:p>
      <w:pPr>
        <w:pStyle w:val="Normal"/>
        <w:spacing w:lineRule="auto" w:line="276" w:before="0" w:after="0"/>
        <w:rPr/>
      </w:pPr>
      <w:r>
        <w:rPr/>
        <w:t>Tabela 20. Wykazanie zgodności planowanej interwencji z celami i priorytetami określonymi                        w programie FEnIKS na lata 2021-2027...............................................................................................101</w:t>
      </w:r>
    </w:p>
    <w:p>
      <w:pPr>
        <w:pStyle w:val="Normal"/>
        <w:spacing w:lineRule="auto" w:line="276" w:before="0" w:after="0"/>
        <w:rPr>
          <w:color w:val="FF0000"/>
        </w:rPr>
      </w:pPr>
      <w:r>
        <w:rPr/>
        <w:t xml:space="preserve">Tabela 21.   Wykazanie zgodności planowanej interwencji z celami i priorytetami określonymi </w:t>
        <w:br/>
        <w:t>w programie Wojewódzkiego Funduszu ochrony Środowiska i Gospodarki Wodnej……………………….102</w:t>
      </w:r>
    </w:p>
    <w:p>
      <w:pPr>
        <w:pStyle w:val="Normal"/>
        <w:spacing w:lineRule="auto" w:line="276" w:before="0" w:after="0"/>
        <w:rPr/>
      </w:pPr>
      <w:r>
        <w:rPr/>
        <w:t xml:space="preserve">Tabela 22.  Wykazanie zgodności planowanej interwencji z celami i priorytetami określonymi </w:t>
        <w:br/>
        <w:t>w programie Narodowego Funduszu ochrony Środowiska i Gospodarki Wodnej …………………………..102</w:t>
      </w:r>
    </w:p>
    <w:p>
      <w:pPr>
        <w:pStyle w:val="Normal"/>
        <w:spacing w:lineRule="auto" w:line="276" w:before="0" w:after="0"/>
        <w:rPr/>
      </w:pPr>
      <w:r>
        <w:rPr/>
        <w:t xml:space="preserve">Tabela 23. Wykazanie zgodności planowanej interwencji z celami i priorytetami określonymi </w:t>
        <w:br/>
        <w:t>w programie „Dostępna przestrzeń publiczna” PFRON …………………………………..……………………..………102</w:t>
      </w:r>
    </w:p>
    <w:p>
      <w:pPr>
        <w:pStyle w:val="Normal"/>
        <w:spacing w:lineRule="auto" w:line="276" w:before="0" w:after="0"/>
        <w:rPr/>
      </w:pPr>
      <w:r>
        <w:rPr/>
        <w:t xml:space="preserve">Tabela 24. Wykazanie zgodności planowanej interwencji z celami i priorytetami określonymi </w:t>
        <w:br/>
        <w:t>w programie Rządowego Funduszu Rozwoju Mieszkalnictwa  …………………….....................................103</w:t>
      </w:r>
    </w:p>
    <w:p>
      <w:pPr>
        <w:pStyle w:val="Normal"/>
        <w:spacing w:lineRule="auto" w:line="276" w:before="0" w:after="0"/>
        <w:rPr/>
      </w:pPr>
      <w:r>
        <w:rPr/>
        <w:t xml:space="preserve">Tabela 25. Uzasadnienie wyboru projektów do wsparcia …………………...............................................107 </w:t>
      </w:r>
    </w:p>
    <w:p>
      <w:pPr>
        <w:pStyle w:val="Normal"/>
        <w:spacing w:lineRule="auto" w:line="276" w:before="0" w:after="0"/>
        <w:rPr/>
      </w:pPr>
      <w:r>
        <w:rPr/>
        <w:t>Tabela 26. Lista projektów podstawowych …………………………………………………………………………………….114</w:t>
      </w:r>
    </w:p>
    <w:p>
      <w:pPr>
        <w:pStyle w:val="Normal"/>
        <w:spacing w:lineRule="auto" w:line="276" w:before="0" w:after="0"/>
        <w:rPr/>
      </w:pPr>
      <w:r>
        <w:rPr/>
        <w:t>Tabela 27. Powiązanie wiązek projektów z celami rozwojowymi Strategii …………………..…………………145</w:t>
      </w:r>
    </w:p>
    <w:p>
      <w:pPr>
        <w:pStyle w:val="Normal"/>
        <w:spacing w:lineRule="auto" w:line="276" w:before="0" w:after="0"/>
        <w:rPr/>
      </w:pPr>
      <w:r>
        <w:rPr/>
        <w:t>Tabela 28. Lista projektów rezerwowych …………………………………………………………………………………….…147</w:t>
      </w:r>
    </w:p>
    <w:p>
      <w:pPr>
        <w:pStyle w:val="Normal"/>
        <w:spacing w:lineRule="auto" w:line="276" w:before="0" w:after="0"/>
        <w:rPr/>
      </w:pPr>
      <w:r>
        <w:rPr/>
        <w:t>Tabela 29. Harmonogram spotkań konsultacyjnych ……………………………………………………………………...177</w:t>
      </w:r>
    </w:p>
    <w:p>
      <w:pPr>
        <w:pStyle w:val="Normal"/>
        <w:jc w:val="both"/>
        <w:rPr>
          <w:color w:val="4F81BD" w:themeColor="accent1"/>
        </w:rPr>
      </w:pPr>
      <w:r>
        <w:rPr>
          <w:color w:val="4F81BD" w:themeColor="accent1"/>
        </w:rPr>
      </w:r>
    </w:p>
    <w:p>
      <w:pPr>
        <w:pStyle w:val="Normal"/>
        <w:jc w:val="both"/>
        <w:rPr>
          <w:b/>
          <w:bCs/>
        </w:rPr>
      </w:pPr>
      <w:r>
        <w:rPr>
          <w:b/>
          <w:bCs/>
        </w:rPr>
        <w:t>Spis Załączników:</w:t>
      </w:r>
    </w:p>
    <w:p>
      <w:pPr>
        <w:pStyle w:val="Normal"/>
        <w:spacing w:lineRule="auto" w:line="276" w:before="0" w:after="0"/>
        <w:jc w:val="both"/>
        <w:rPr/>
      </w:pPr>
      <w:r>
        <w:rPr>
          <w:rFonts w:eastAsia="Times New Roman" w:cs="Calibri"/>
          <w:color w:val="000000"/>
          <w:lang w:eastAsia="pl-PL"/>
        </w:rPr>
        <w:t>Załącznik nr 1. Harmonogram wdrożeniowy dla realizacji strategii…………………………………………………153</w:t>
      </w:r>
    </w:p>
    <w:p>
      <w:pPr>
        <w:pStyle w:val="Normal"/>
        <w:spacing w:lineRule="auto" w:line="276" w:before="0" w:after="0"/>
        <w:jc w:val="both"/>
        <w:rPr/>
      </w:pPr>
      <w:r>
        <w:rPr/>
        <w:t>Załącznik nr 2. Kontraktacja narastająco……………………………………………………………………………………......155</w:t>
      </w:r>
    </w:p>
    <w:p>
      <w:pPr>
        <w:pStyle w:val="Normal"/>
        <w:spacing w:lineRule="auto" w:line="276" w:before="0" w:after="0"/>
        <w:jc w:val="both"/>
        <w:rPr/>
      </w:pPr>
      <w:r>
        <w:rPr/>
        <w:t>Załącznik nr 3. Złożone wnioski o płatność narastająco……………………………………………………………….....155</w:t>
      </w:r>
    </w:p>
    <w:p>
      <w:pPr>
        <w:pStyle w:val="Normal"/>
        <w:spacing w:lineRule="auto" w:line="276" w:before="0" w:after="0"/>
        <w:jc w:val="both"/>
        <w:rPr/>
      </w:pPr>
      <w:r>
        <w:rPr/>
        <w:t>Załącznik nr 4. Plan finansowy ………………………………………………………………………………………………….......156</w:t>
      </w:r>
    </w:p>
    <w:p>
      <w:pPr>
        <w:pStyle w:val="Normal"/>
        <w:spacing w:lineRule="auto" w:line="276" w:before="0" w:after="0"/>
        <w:jc w:val="both"/>
        <w:rPr/>
      </w:pPr>
      <w:r>
        <w:rPr/>
        <w:t>Załącznik nr 5. Sprawozdanie z konsultacji społecznych …………………………………………………………………</w:t>
      </w:r>
    </w:p>
    <w:p>
      <w:pPr>
        <w:pStyle w:val="Normal"/>
        <w:spacing w:lineRule="auto" w:line="276" w:before="0" w:after="0"/>
        <w:jc w:val="both"/>
        <w:rPr>
          <w:rFonts w:eastAsia="Times New Roman" w:cs="Times New Roman"/>
          <w:kern w:val="2"/>
        </w:rPr>
      </w:pPr>
      <w:r>
        <w:rPr/>
      </w:r>
    </w:p>
    <w:sectPr>
      <w:headerReference w:type="default" r:id="rId73"/>
      <w:headerReference w:type="first" r:id="rId74"/>
      <w:footerReference w:type="default" r:id="rId75"/>
      <w:footerReference w:type="first" r:id="rId76"/>
      <w:footnotePr>
        <w:numFmt w:val="decimal"/>
      </w:footnotePr>
      <w:type w:val="nextPage"/>
      <w:pgSz w:w="11906" w:h="16838"/>
      <w:pgMar w:left="1418" w:right="1418" w:gutter="0" w:header="283" w:top="1559" w:footer="227"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ahoma">
    <w:charset w:val="ee"/>
    <w:family w:val="roman"/>
    <w:pitch w:val="variable"/>
  </w:font>
  <w:font w:name="Lato">
    <w:charset w:val="ee"/>
    <w:family w:val="roman"/>
    <w:pitch w:val="variable"/>
  </w:font>
  <w:font w:name="Calibri Light">
    <w:charset w:val="ee"/>
    <w:family w:val="roman"/>
    <w:pitch w:val="variable"/>
  </w:font>
  <w:font w:name="Arial">
    <w:charset w:val="ee"/>
    <w:family w:val="roman"/>
    <w:pitch w:val="variable"/>
  </w:font>
  <w:font w:name="Liberation Sans">
    <w:altName w:val="Arial"/>
    <w:charset w:val="ee"/>
    <w:family w:val="swiss"/>
    <w:pitch w:val="variable"/>
  </w:font>
  <w:font w:name="Times New Roman">
    <w:charset w:val="ee"/>
    <w:family w:val="roman"/>
    <w:pitch w:val="variable"/>
  </w:font>
  <w:font w:name="Arial Narrow">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41298016"/>
    </w:sdtPr>
    <w:sdtContent>
      <w:p>
        <w:pPr>
          <w:pStyle w:val="Stopka"/>
          <w:jc w:val="center"/>
          <w:rPr/>
        </w:pPr>
        <w:r>
          <w:rPr/>
          <w:fldChar w:fldCharType="begin"/>
        </w:r>
        <w:r>
          <w:rPr/>
          <w:instrText xml:space="preserve"> PAGE \* ARABIC </w:instrText>
        </w:r>
        <w:r>
          <w:rPr/>
          <w:fldChar w:fldCharType="separate"/>
        </w:r>
        <w:r>
          <w:rPr/>
          <w:t>83</w:t>
        </w:r>
        <w:r>
          <w:rPr/>
          <w:fldChar w:fldCharType="end"/>
        </w:r>
        <w:r>
          <w:rPr/>
          <w:t xml:space="preserve">                          </w:t>
        </w:r>
      </w:p>
    </w:sdtContent>
  </w:sdt>
  <w:p>
    <w:pPr>
      <w:pStyle w:val="Stopka"/>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50793085"/>
    </w:sdtPr>
    <w:sdtContent>
      <w:p>
        <w:pPr>
          <w:pStyle w:val="Stopka"/>
          <w:jc w:val="center"/>
          <w:rPr/>
        </w:pPr>
        <w:r>
          <w:rPr/>
          <w:fldChar w:fldCharType="begin"/>
        </w:r>
        <w:r>
          <w:rPr/>
          <w:instrText xml:space="preserve"> PAGE \* ARABIC </w:instrText>
        </w:r>
        <w:r>
          <w:rPr/>
          <w:fldChar w:fldCharType="separate"/>
        </w:r>
        <w:r>
          <w:rPr/>
          <w:t>165</w:t>
        </w:r>
        <w:r>
          <w:rPr/>
          <w:fldChar w:fldCharType="end"/>
        </w:r>
        <w:r>
          <w:rPr/>
          <w:t xml:space="preserve">                          </w:t>
        </w:r>
      </w:p>
    </w:sdtContent>
  </w:sdt>
  <w:p>
    <w:pPr>
      <w:pStyle w:val="Stopka"/>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29515413"/>
    </w:sdtPr>
    <w:sdtContent>
      <w:p>
        <w:pPr>
          <w:pStyle w:val="Stopka"/>
          <w:jc w:val="center"/>
          <w:rPr/>
        </w:pPr>
        <w:r>
          <w:rPr/>
          <w:fldChar w:fldCharType="begin"/>
        </w:r>
        <w:r>
          <w:rPr/>
          <w:instrText xml:space="preserve"> PAGE \* ARABIC </w:instrText>
        </w:r>
        <w:r>
          <w:rPr/>
          <w:fldChar w:fldCharType="separate"/>
        </w:r>
        <w:r>
          <w:rPr/>
          <w:t>166</w:t>
        </w:r>
        <w:r>
          <w:rPr/>
          <w:fldChar w:fldCharType="end"/>
        </w:r>
        <w:r>
          <w:rPr/>
          <w:t xml:space="preserve">                          </w:t>
        </w:r>
      </w:p>
    </w:sdtContent>
  </w:sdt>
  <w:p>
    <w:pPr>
      <w:pStyle w:val="Stopka"/>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48100756"/>
    </w:sdtPr>
    <w:sdtContent>
      <w:p>
        <w:pPr>
          <w:pStyle w:val="Stopka"/>
          <w:jc w:val="center"/>
          <w:rPr/>
        </w:pPr>
        <w:r>
          <w:rPr/>
          <w:fldChar w:fldCharType="begin"/>
        </w:r>
        <w:r>
          <w:rPr/>
          <w:instrText xml:space="preserve"> PAGE \* ARABIC </w:instrText>
        </w:r>
        <w:r>
          <w:rPr/>
          <w:fldChar w:fldCharType="separate"/>
        </w:r>
        <w:r>
          <w:rPr/>
          <w:t>168</w:t>
        </w:r>
        <w:r>
          <w:rPr/>
          <w:fldChar w:fldCharType="end"/>
        </w:r>
        <w:r>
          <w:rPr/>
          <w:t xml:space="preserve">                          </w:t>
        </w:r>
      </w:p>
    </w:sdtContent>
  </w:sdt>
  <w:p>
    <w:pPr>
      <w:pStyle w:val="Stopka"/>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04450808"/>
    </w:sdtPr>
    <w:sdtContent>
      <w:p>
        <w:pPr>
          <w:pStyle w:val="Stopka"/>
          <w:jc w:val="center"/>
          <w:rPr/>
        </w:pPr>
        <w:r>
          <w:rPr/>
          <w:fldChar w:fldCharType="begin"/>
        </w:r>
        <w:r>
          <w:rPr/>
          <w:instrText xml:space="preserve"> PAGE \* ARABIC </w:instrText>
        </w:r>
        <w:r>
          <w:rPr/>
          <w:fldChar w:fldCharType="separate"/>
        </w:r>
        <w:r>
          <w:rPr/>
          <w:t>181</w:t>
        </w:r>
        <w:r>
          <w:rPr/>
          <w:fldChar w:fldCharType="end"/>
        </w:r>
        <w:r>
          <w:rPr/>
          <w:t xml:space="preserve">                          </w:t>
        </w:r>
      </w:p>
    </w:sdtContent>
  </w:sdt>
  <w:p>
    <w:pPr>
      <w:pStyle w:val="Stopka"/>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096071"/>
    </w:sdtPr>
    <w:sdtContent>
      <w:p>
        <w:pPr>
          <w:pStyle w:val="Stopka"/>
          <w:jc w:val="center"/>
          <w:rPr/>
        </w:pPr>
        <w:r>
          <w:rPr/>
          <w:fldChar w:fldCharType="begin"/>
        </w:r>
        <w:r>
          <w:rPr/>
          <w:instrText xml:space="preserve"> PAGE \* ARABIC </w:instrText>
        </w:r>
        <w:r>
          <w:rPr/>
          <w:fldChar w:fldCharType="separate"/>
        </w:r>
        <w:r>
          <w:rPr/>
          <w:t>198</w:t>
        </w:r>
        <w:r>
          <w:rPr/>
          <w:fldChar w:fldCharType="end"/>
        </w:r>
        <w:r>
          <w:rPr/>
          <w:t xml:space="preserve">                          </w:t>
        </w:r>
      </w:p>
    </w:sdtContent>
  </w:sdt>
  <w:p>
    <w:pPr>
      <w:pStyle w:val="Stopka"/>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opka"/>
      <w:jc w:val="center"/>
      <w:rPr/>
    </w:pPr>
    <w:r>
      <w:rPr/>
    </w:r>
  </w:p>
  <w:p>
    <w:pPr>
      <w:pStyle w:val="Stopk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04030834"/>
    </w:sdtPr>
    <w:sdtContent>
      <w:p>
        <w:pPr>
          <w:pStyle w:val="Stopka"/>
          <w:jc w:val="center"/>
          <w:rPr/>
        </w:pPr>
        <w:r>
          <w:rPr/>
          <w:fldChar w:fldCharType="begin"/>
        </w:r>
        <w:r>
          <w:rPr/>
          <w:instrText xml:space="preserve"> PAGE \* ARABIC </w:instrText>
        </w:r>
        <w:r>
          <w:rPr/>
          <w:fldChar w:fldCharType="separate"/>
        </w:r>
        <w:r>
          <w:rPr/>
          <w:t>113</w:t>
        </w:r>
        <w:r>
          <w:rPr/>
          <w:fldChar w:fldCharType="end"/>
        </w:r>
        <w:r>
          <w:rPr/>
          <w:t xml:space="preserve">                          </w:t>
        </w:r>
      </w:p>
    </w:sdtContent>
  </w:sdt>
  <w:p>
    <w:pPr>
      <w:pStyle w:val="Stopk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opka"/>
      <w:jc w:val="center"/>
      <w:rPr/>
    </w:pPr>
    <w:r>
      <w:rPr/>
    </w:r>
  </w:p>
  <w:p>
    <w:pPr>
      <w:pStyle w:val="Stopka"/>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30148840"/>
    </w:sdtPr>
    <w:sdtContent>
      <w:p>
        <w:pPr>
          <w:pStyle w:val="Stopka"/>
          <w:jc w:val="center"/>
          <w:rPr/>
        </w:pPr>
        <w:r>
          <w:rPr/>
          <w:fldChar w:fldCharType="begin"/>
        </w:r>
        <w:r>
          <w:rPr/>
          <w:instrText xml:space="preserve"> PAGE \* ARABIC </w:instrText>
        </w:r>
        <w:r>
          <w:rPr/>
          <w:fldChar w:fldCharType="separate"/>
        </w:r>
        <w:r>
          <w:rPr/>
          <w:t>151</w:t>
        </w:r>
        <w:r>
          <w:rPr/>
          <w:fldChar w:fldCharType="end"/>
        </w:r>
        <w:r>
          <w:rPr/>
          <w:t xml:space="preserve">                          </w:t>
        </w:r>
      </w:p>
    </w:sdtContent>
  </w:sdt>
  <w:p>
    <w:pPr>
      <w:pStyle w:val="Stopka"/>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88983169"/>
    </w:sdtPr>
    <w:sdtContent>
      <w:p>
        <w:pPr>
          <w:pStyle w:val="Stopka"/>
          <w:jc w:val="center"/>
          <w:rPr/>
        </w:pPr>
        <w:r>
          <w:rPr/>
          <w:fldChar w:fldCharType="begin"/>
        </w:r>
        <w:r>
          <w:rPr/>
          <w:instrText xml:space="preserve"> PAGE \* ARABIC </w:instrText>
        </w:r>
        <w:r>
          <w:rPr/>
          <w:fldChar w:fldCharType="separate"/>
        </w:r>
        <w:r>
          <w:rPr/>
          <w:t>161</w:t>
        </w:r>
        <w:r>
          <w:rPr/>
          <w:fldChar w:fldCharType="end"/>
        </w:r>
        <w:r>
          <w:rPr/>
          <w:t xml:space="preserve">                          </w:t>
        </w:r>
      </w:p>
    </w:sdtContent>
  </w:sdt>
  <w:p>
    <w:pPr>
      <w:pStyle w:val="Stopka"/>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80824516"/>
    </w:sdtPr>
    <w:sdtContent>
      <w:p>
        <w:pPr>
          <w:pStyle w:val="Stopka"/>
          <w:jc w:val="center"/>
          <w:rPr/>
        </w:pPr>
        <w:r>
          <w:rPr/>
          <w:fldChar w:fldCharType="begin"/>
        </w:r>
        <w:r>
          <w:rPr/>
          <w:instrText xml:space="preserve"> PAGE \* ARABIC </w:instrText>
        </w:r>
        <w:r>
          <w:rPr/>
          <w:fldChar w:fldCharType="separate"/>
        </w:r>
        <w:r>
          <w:rPr/>
          <w:t>164</w:t>
        </w:r>
        <w:r>
          <w:rPr/>
          <w:fldChar w:fldCharType="end"/>
        </w:r>
        <w:r>
          <w:rPr/>
          <w:t xml:space="preserve">                          </w:t>
        </w:r>
      </w:p>
    </w:sdtContent>
  </w:sdt>
  <w:p>
    <w:pPr>
      <w:pStyle w:val="Stopk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Przypisdolny"/>
        <w:rPr>
          <w:rFonts w:cs="Calibri" w:cstheme="minorHAnsi"/>
          <w:sz w:val="18"/>
          <w:szCs w:val="18"/>
        </w:rPr>
      </w:pPr>
      <w:r>
        <w:rPr>
          <w:rStyle w:val="Znakiprzypiswdolnych"/>
        </w:rPr>
        <w:footnoteRef/>
      </w:r>
      <w:r>
        <w:rPr>
          <w:rFonts w:cs="Calibri" w:cstheme="minorHAnsi"/>
          <w:sz w:val="18"/>
          <w:szCs w:val="18"/>
        </w:rPr>
        <w:t xml:space="preserve"> </w:t>
      </w:r>
      <w:r>
        <w:rPr>
          <w:rFonts w:cs="Calibri" w:cstheme="minorHAnsi"/>
          <w:sz w:val="18"/>
          <w:szCs w:val="18"/>
        </w:rPr>
        <w:t>Dz.U. 2022 poz. 1079</w:t>
      </w:r>
    </w:p>
  </w:footnote>
  <w:footnote w:id="3">
    <w:p>
      <w:pPr>
        <w:pStyle w:val="Przypisdolny"/>
        <w:rPr>
          <w:sz w:val="18"/>
          <w:szCs w:val="18"/>
        </w:rPr>
      </w:pPr>
      <w:r>
        <w:rPr>
          <w:rStyle w:val="Znakiprzypiswdolnych"/>
        </w:rPr>
        <w:footnoteRef/>
      </w:r>
      <w:r>
        <w:rPr>
          <w:rFonts w:cs="Calibri" w:cstheme="minorHAnsi"/>
          <w:sz w:val="18"/>
          <w:szCs w:val="18"/>
        </w:rPr>
        <w:t xml:space="preserve"> </w:t>
      </w:r>
      <w:r>
        <w:rPr>
          <w:rFonts w:cs="Calibri" w:cstheme="minorHAnsi"/>
          <w:sz w:val="18"/>
          <w:szCs w:val="18"/>
        </w:rPr>
        <w:t>przyjętej uchwałą nr XXVIII/399/20 Sejmiku Województwa Kujawsko-Pomorskiego z dnia 21 grudnia 2020 r.</w:t>
      </w:r>
    </w:p>
  </w:footnote>
  <w:footnote w:id="4">
    <w:p>
      <w:pPr>
        <w:pStyle w:val="Przypisdolny"/>
        <w:rPr>
          <w:sz w:val="18"/>
          <w:szCs w:val="18"/>
        </w:rPr>
      </w:pPr>
      <w:r>
        <w:rPr>
          <w:rStyle w:val="Znakiprzypiswdolnych"/>
        </w:rPr>
        <w:footnoteRef/>
      </w:r>
      <w:r>
        <w:rPr>
          <w:sz w:val="18"/>
          <w:szCs w:val="18"/>
        </w:rPr>
        <w:t xml:space="preserve"> </w:t>
      </w:r>
      <w:r>
        <w:rPr>
          <w:rFonts w:eastAsia="Times New Roman" w:cs="Times New Roman"/>
          <w:sz w:val="18"/>
          <w:szCs w:val="18"/>
          <w:lang w:eastAsia="pl-PL"/>
        </w:rPr>
        <w:t>Zgodnie z danymi z gminnych rejestrów mieszkańców</w:t>
      </w:r>
    </w:p>
  </w:footnote>
  <w:footnote w:id="5">
    <w:p>
      <w:pPr>
        <w:pStyle w:val="Przypisdolny"/>
        <w:rPr>
          <w:sz w:val="18"/>
          <w:szCs w:val="18"/>
        </w:rPr>
      </w:pPr>
      <w:r>
        <w:rPr>
          <w:rStyle w:val="Znakiprzypiswdolnych"/>
        </w:rPr>
        <w:footnoteRef/>
      </w:r>
      <w:r>
        <w:rPr>
          <w:sz w:val="18"/>
          <w:szCs w:val="18"/>
        </w:rPr>
        <w:t xml:space="preserve"> </w:t>
      </w:r>
      <w:r>
        <w:rPr>
          <w:sz w:val="18"/>
          <w:szCs w:val="18"/>
        </w:rPr>
        <w:t>Na podstawie informacji z Raportów o stanie Miasta Włocławek</w:t>
      </w:r>
    </w:p>
  </w:footnote>
  <w:footnote w:id="6">
    <w:p>
      <w:pPr>
        <w:pStyle w:val="Przypisdolny"/>
        <w:rPr>
          <w:sz w:val="18"/>
          <w:szCs w:val="18"/>
        </w:rPr>
      </w:pPr>
      <w:r>
        <w:rPr>
          <w:rStyle w:val="Znakiprzypiswdolnych"/>
        </w:rPr>
        <w:footnoteRef/>
      </w:r>
      <w:r>
        <w:rPr>
          <w:sz w:val="18"/>
          <w:szCs w:val="18"/>
        </w:rPr>
        <w:t xml:space="preserve"> </w:t>
      </w:r>
      <w:r>
        <w:rPr>
          <w:sz w:val="18"/>
          <w:szCs w:val="18"/>
        </w:rPr>
        <w:t>Uchwała nr XXXV/71/2021 Rady Miasta Włocławek z dnia 22 czerwca 2021 r.</w:t>
      </w:r>
    </w:p>
  </w:footnote>
  <w:footnote w:id="7">
    <w:p>
      <w:pPr>
        <w:pStyle w:val="Przypisdolny"/>
        <w:rPr>
          <w:sz w:val="18"/>
          <w:szCs w:val="18"/>
        </w:rPr>
      </w:pPr>
      <w:r>
        <w:rPr>
          <w:rStyle w:val="Znakiprzypiswdolnych"/>
        </w:rPr>
        <w:footnoteRef/>
      </w:r>
      <w:r>
        <w:rPr>
          <w:sz w:val="18"/>
          <w:szCs w:val="18"/>
        </w:rPr>
        <w:t xml:space="preserve"> </w:t>
      </w:r>
      <w:r>
        <w:rPr>
          <w:sz w:val="18"/>
          <w:szCs w:val="18"/>
        </w:rPr>
        <w:t>Ścieżki redukcji emisji CO</w:t>
      </w:r>
      <w:r>
        <w:rPr>
          <w:sz w:val="18"/>
          <w:szCs w:val="18"/>
          <w:vertAlign w:val="subscript"/>
        </w:rPr>
        <w:t>2</w:t>
      </w:r>
      <w:r>
        <w:rPr>
          <w:sz w:val="18"/>
          <w:szCs w:val="18"/>
        </w:rPr>
        <w:t xml:space="preserve"> w sektorze transportu w Polsce w kontekście „Europejskiego Zielonego Ładu”, Centrum Analiz Klimatyczno-Energetycznych, 2020.</w:t>
      </w:r>
    </w:p>
  </w:footnote>
  <w:footnote w:id="8">
    <w:p>
      <w:pPr>
        <w:pStyle w:val="Przypisdolny"/>
        <w:rPr>
          <w:sz w:val="18"/>
          <w:szCs w:val="18"/>
        </w:rPr>
      </w:pPr>
      <w:r>
        <w:rPr>
          <w:rStyle w:val="Znakiprzypiswdolnych"/>
        </w:rPr>
        <w:footnoteRef/>
      </w:r>
      <w:r>
        <w:rPr>
          <w:sz w:val="18"/>
          <w:szCs w:val="18"/>
        </w:rPr>
        <w:t xml:space="preserve"> </w:t>
      </w:r>
      <w:r>
        <w:rPr>
          <w:sz w:val="18"/>
          <w:szCs w:val="18"/>
        </w:rPr>
        <w:t>5,8 mld zł oszczędziłyby polskie gminy, gdyby ograniczono zjawisko chaosu przestrzennego, Polski Instytut Ekonomiczny; https://pie.net.pl/58-mld-zl-oszczedzilyby-polskie-gminy-gdyby-ograniczono-zjawisko-chaosu-przestrzennego/.</w:t>
      </w:r>
    </w:p>
  </w:footnote>
  <w:footnote w:id="9">
    <w:p>
      <w:pPr>
        <w:pStyle w:val="Przypisdolny"/>
        <w:rPr>
          <w:sz w:val="18"/>
          <w:szCs w:val="18"/>
        </w:rPr>
      </w:pPr>
      <w:r>
        <w:rPr>
          <w:rStyle w:val="Znakiprzypiswdolnych"/>
        </w:rPr>
        <w:footnoteRef/>
      </w:r>
      <w:r>
        <w:rPr>
          <w:sz w:val="18"/>
          <w:szCs w:val="18"/>
        </w:rPr>
        <w:t xml:space="preserve"> </w:t>
      </w:r>
      <w:r>
        <w:rPr>
          <w:sz w:val="18"/>
          <w:szCs w:val="18"/>
        </w:rPr>
        <w:t>W porównaniu ze stanem liczby ludności na rok 2020 przewidzianym w prognozie.</w:t>
      </w:r>
    </w:p>
  </w:footnote>
  <w:footnote w:id="10">
    <w:p>
      <w:pPr>
        <w:pStyle w:val="Przypisdolny"/>
        <w:rPr>
          <w:sz w:val="18"/>
          <w:szCs w:val="18"/>
        </w:rPr>
      </w:pPr>
      <w:r>
        <w:rPr>
          <w:rStyle w:val="Znakiprzypiswdolnych"/>
        </w:rPr>
        <w:footnoteRef/>
      </w:r>
      <w:r>
        <w:rPr>
          <w:sz w:val="18"/>
          <w:szCs w:val="18"/>
        </w:rPr>
        <w:t xml:space="preserve"> </w:t>
      </w:r>
      <w:r>
        <w:rPr>
          <w:sz w:val="18"/>
          <w:szCs w:val="18"/>
        </w:rPr>
        <w:t xml:space="preserve">Analizowano migracje na pobyt stały w ujęciu gminnym zarówno w ruchu wewnętrznym jak i zagranicznym – co oznacza, </w:t>
        <w:br/>
        <w:t>że liczone są także migracje pomiędzy jednostkami w obrębie analizowanego obszaru. Jednocześnie z uwagi na brak danych w Banku Danych Lokalnych GUS o migracjach długookresowych za rok 2015, w niniejszej analizie pominięto tenże rok.</w:t>
      </w:r>
    </w:p>
  </w:footnote>
  <w:footnote w:id="11">
    <w:p>
      <w:pPr>
        <w:pStyle w:val="Przypisdolny"/>
        <w:rPr>
          <w:sz w:val="18"/>
          <w:szCs w:val="18"/>
        </w:rPr>
      </w:pPr>
      <w:r>
        <w:rPr>
          <w:rStyle w:val="Znakiprzypiswdolnych"/>
        </w:rPr>
        <w:footnoteRef/>
      </w:r>
      <w:r>
        <w:rPr>
          <w:sz w:val="18"/>
          <w:szCs w:val="18"/>
        </w:rPr>
        <w:t xml:space="preserve"> </w:t>
      </w:r>
      <w:r>
        <w:rPr>
          <w:sz w:val="18"/>
          <w:szCs w:val="18"/>
        </w:rPr>
        <w:t>Dotyczą one migracji pomiędzy wszystkimi gminami w kraju, uwzględniając tym samym także migracje wewnątrz MOF.</w:t>
      </w:r>
    </w:p>
  </w:footnote>
  <w:footnote w:id="12">
    <w:p>
      <w:pPr>
        <w:pStyle w:val="Przypisdolny"/>
        <w:rPr>
          <w:sz w:val="18"/>
          <w:szCs w:val="18"/>
        </w:rPr>
      </w:pPr>
      <w:r>
        <w:rPr>
          <w:rStyle w:val="Znakiprzypiswdolnych"/>
        </w:rPr>
        <w:footnoteRef/>
      </w:r>
      <w:r>
        <w:rPr>
          <w:sz w:val="18"/>
          <w:szCs w:val="18"/>
        </w:rPr>
        <w:t xml:space="preserve"> </w:t>
      </w:r>
      <w:r>
        <w:rPr>
          <w:sz w:val="18"/>
          <w:szCs w:val="18"/>
        </w:rPr>
        <w:t>Wyróżniono tylko sekcje/działy, które przekraczały udział 0,2% na obszarze MOF</w:t>
      </w:r>
    </w:p>
  </w:footnote>
  <w:footnote w:id="13">
    <w:p>
      <w:pPr>
        <w:pStyle w:val="Przypisdolny"/>
        <w:rPr>
          <w:sz w:val="18"/>
          <w:szCs w:val="18"/>
        </w:rPr>
      </w:pPr>
      <w:r>
        <w:rPr>
          <w:rStyle w:val="Znakiprzypiswdolnych"/>
        </w:rPr>
        <w:footnoteRef/>
      </w:r>
      <w:r>
        <w:rPr>
          <w:sz w:val="18"/>
          <w:szCs w:val="18"/>
        </w:rPr>
        <w:t xml:space="preserve"> </w:t>
      </w:r>
      <w:r>
        <w:rPr>
          <w:sz w:val="18"/>
          <w:szCs w:val="18"/>
        </w:rPr>
        <w:t>Regionalne Obserwatorium Gospodarcze Województwa Kujawsko-Pomorskiego (stan na wrzesień 2022 r.)</w:t>
      </w:r>
    </w:p>
  </w:footnote>
  <w:footnote w:id="14">
    <w:p>
      <w:pPr>
        <w:pStyle w:val="Przypisdolny"/>
        <w:rPr>
          <w:sz w:val="18"/>
          <w:szCs w:val="18"/>
        </w:rPr>
      </w:pPr>
      <w:r>
        <w:rPr>
          <w:rStyle w:val="Znakiprzypiswdolnych"/>
        </w:rPr>
        <w:footnoteRef/>
      </w:r>
      <w:r>
        <w:rPr>
          <w:sz w:val="18"/>
          <w:szCs w:val="18"/>
        </w:rPr>
        <w:t xml:space="preserve"> </w:t>
      </w:r>
      <w:r>
        <w:rPr>
          <w:sz w:val="18"/>
          <w:szCs w:val="18"/>
        </w:rPr>
        <w:t>Opracowano na podstawie wyników Powszechnego Spisu Rolnego 2020 (dane wstępne)</w:t>
      </w:r>
    </w:p>
  </w:footnote>
  <w:footnote w:id="15">
    <w:p>
      <w:pPr>
        <w:pStyle w:val="Przypisdolny"/>
        <w:rPr>
          <w:sz w:val="18"/>
          <w:szCs w:val="18"/>
        </w:rPr>
      </w:pPr>
      <w:r>
        <w:rPr>
          <w:rStyle w:val="Znakiprzypiswdolnych"/>
        </w:rPr>
        <w:footnoteRef/>
      </w:r>
      <w:r>
        <w:rPr>
          <w:sz w:val="18"/>
          <w:szCs w:val="18"/>
        </w:rPr>
        <w:t xml:space="preserve"> </w:t>
      </w:r>
      <w:r>
        <w:rPr>
          <w:sz w:val="18"/>
          <w:szCs w:val="18"/>
        </w:rPr>
        <w:t>Zagadnienie opracowano na podstawie danych pochodzących z publikacji „Informacja o bezrobociu w miastach i gminach województwa kujawsko-pomorskiego w 2021 roku” (WUP Toruń) oraz BDL GUS.</w:t>
      </w:r>
    </w:p>
  </w:footnote>
  <w:footnote w:id="16">
    <w:p>
      <w:pPr>
        <w:pStyle w:val="Przypisdolny"/>
        <w:rPr>
          <w:sz w:val="18"/>
          <w:szCs w:val="18"/>
        </w:rPr>
      </w:pPr>
      <w:r>
        <w:rPr>
          <w:rStyle w:val="Znakiprzypiswdolnych"/>
        </w:rPr>
        <w:footnoteRef/>
      </w:r>
      <w:r>
        <w:rPr>
          <w:sz w:val="18"/>
          <w:szCs w:val="18"/>
        </w:rPr>
        <w:t xml:space="preserve"> </w:t>
      </w:r>
      <w:r>
        <w:rPr>
          <w:sz w:val="18"/>
          <w:szCs w:val="18"/>
        </w:rPr>
        <w:t>Powyżej 12 miesięcy.</w:t>
      </w:r>
    </w:p>
  </w:footnote>
  <w:footnote w:id="17">
    <w:p>
      <w:pPr>
        <w:pStyle w:val="Przypisdolny"/>
        <w:rPr>
          <w:sz w:val="18"/>
          <w:szCs w:val="18"/>
        </w:rPr>
      </w:pPr>
      <w:r>
        <w:rPr>
          <w:rStyle w:val="Znakiprzypiswdolnych"/>
        </w:rPr>
        <w:footnoteRef/>
      </w:r>
      <w:r>
        <w:rPr>
          <w:sz w:val="18"/>
          <w:szCs w:val="18"/>
        </w:rPr>
        <w:t xml:space="preserve"> </w:t>
      </w:r>
      <w:r>
        <w:rPr>
          <w:sz w:val="18"/>
          <w:szCs w:val="18"/>
        </w:rPr>
        <w:t>Kobiety w wieku 50-59 lat i mężczyźni w wieku 50-64 lata.</w:t>
      </w:r>
    </w:p>
  </w:footnote>
  <w:footnote w:id="18">
    <w:p>
      <w:pPr>
        <w:pStyle w:val="Przypisdolny"/>
        <w:rPr>
          <w:sz w:val="18"/>
          <w:szCs w:val="18"/>
        </w:rPr>
      </w:pPr>
      <w:r>
        <w:rPr>
          <w:rStyle w:val="Znakiprzypiswdolnych"/>
        </w:rPr>
        <w:footnoteRef/>
      </w:r>
      <w:r>
        <w:rPr>
          <w:sz w:val="18"/>
          <w:szCs w:val="18"/>
        </w:rPr>
        <w:t xml:space="preserve"> </w:t>
      </w:r>
      <w:r>
        <w:rPr>
          <w:sz w:val="18"/>
          <w:szCs w:val="18"/>
        </w:rPr>
        <w:t>Stan na 30.07.2021 r. wg https://gsl.nfz.gov.pl/GSL/GSL/POZ</w:t>
      </w:r>
    </w:p>
  </w:footnote>
  <w:footnote w:id="19">
    <w:p>
      <w:pPr>
        <w:pStyle w:val="Przypisdolny"/>
        <w:rPr>
          <w:sz w:val="18"/>
          <w:szCs w:val="18"/>
        </w:rPr>
      </w:pPr>
      <w:r>
        <w:rPr>
          <w:rStyle w:val="Znakiprzypiswdolnych"/>
        </w:rPr>
        <w:footnoteRef/>
      </w:r>
      <w:r>
        <w:rPr>
          <w:sz w:val="18"/>
          <w:szCs w:val="18"/>
        </w:rPr>
        <w:t xml:space="preserve"> </w:t>
      </w:r>
      <w:r>
        <w:rPr>
          <w:sz w:val="18"/>
          <w:szCs w:val="18"/>
        </w:rPr>
        <w:t>https://basiw.mz.gov.pl/index.html#/visualization?id=3404</w:t>
      </w:r>
    </w:p>
  </w:footnote>
  <w:footnote w:id="20">
    <w:p>
      <w:pPr>
        <w:pStyle w:val="Przypisdolny"/>
        <w:rPr>
          <w:sz w:val="18"/>
          <w:szCs w:val="18"/>
        </w:rPr>
      </w:pPr>
      <w:r>
        <w:rPr>
          <w:rStyle w:val="Znakiprzypiswdolnych"/>
        </w:rPr>
        <w:footnoteRef/>
      </w:r>
      <w:r>
        <w:rPr>
          <w:sz w:val="18"/>
          <w:szCs w:val="18"/>
        </w:rPr>
        <w:t xml:space="preserve"> </w:t>
      </w:r>
      <w:r>
        <w:rPr>
          <w:sz w:val="18"/>
          <w:szCs w:val="18"/>
        </w:rPr>
        <w:t>https://basiw.mz.gov.pl/index.html#/visualization?id=3409 (dostęp 26.07.2021 r.)</w:t>
      </w:r>
    </w:p>
  </w:footnote>
  <w:footnote w:id="21">
    <w:p>
      <w:pPr>
        <w:pStyle w:val="Przypisdolny"/>
        <w:rPr>
          <w:sz w:val="18"/>
          <w:szCs w:val="18"/>
        </w:rPr>
      </w:pPr>
      <w:r>
        <w:rPr>
          <w:rStyle w:val="Znakiprzypiswdolnych"/>
        </w:rPr>
        <w:footnoteRef/>
      </w:r>
      <w:r>
        <w:rPr>
          <w:sz w:val="18"/>
          <w:szCs w:val="18"/>
        </w:rPr>
        <w:t xml:space="preserve"> </w:t>
      </w:r>
      <w:r>
        <w:rPr>
          <w:sz w:val="18"/>
          <w:szCs w:val="18"/>
        </w:rPr>
        <w:t>https://basiw.mz.gov.pl/index.html#/visualization?id=3361 (dostęp 06.08.2021 r.)</w:t>
      </w:r>
    </w:p>
  </w:footnote>
  <w:footnote w:id="22">
    <w:p>
      <w:pPr>
        <w:pStyle w:val="Przypisdolny"/>
        <w:rPr>
          <w:sz w:val="18"/>
          <w:szCs w:val="18"/>
        </w:rPr>
      </w:pPr>
      <w:r>
        <w:rPr>
          <w:rStyle w:val="Znakiprzypiswdolnych"/>
        </w:rPr>
        <w:footnoteRef/>
      </w:r>
      <w:r>
        <w:rPr>
          <w:sz w:val="18"/>
          <w:szCs w:val="18"/>
        </w:rPr>
        <w:t xml:space="preserve"> </w:t>
      </w:r>
      <w:r>
        <w:rPr>
          <w:sz w:val="18"/>
          <w:szCs w:val="18"/>
        </w:rPr>
        <w:t>https://basiw.mz.gov.pl/index.html#/visualization?id=3368 (dostęp 06.08.2021 r.)</w:t>
      </w:r>
    </w:p>
  </w:footnote>
  <w:footnote w:id="23">
    <w:p>
      <w:pPr>
        <w:pStyle w:val="Przypisdolny"/>
        <w:rPr>
          <w:sz w:val="18"/>
          <w:szCs w:val="18"/>
        </w:rPr>
      </w:pPr>
      <w:r>
        <w:rPr>
          <w:rStyle w:val="Znakiprzypiswdolnych"/>
        </w:rPr>
        <w:footnoteRef/>
      </w:r>
      <w:r>
        <w:rPr>
          <w:sz w:val="18"/>
          <w:szCs w:val="18"/>
        </w:rPr>
        <w:t xml:space="preserve"> </w:t>
      </w:r>
      <w:r>
        <w:rPr>
          <w:sz w:val="18"/>
          <w:szCs w:val="18"/>
        </w:rPr>
        <w:t>https://basiw.mz.gov.pl/index.html#/visualization?id=3365 (dostęp 24.08.2021 r.)</w:t>
      </w:r>
    </w:p>
  </w:footnote>
  <w:footnote w:id="24">
    <w:p>
      <w:pPr>
        <w:pStyle w:val="Przypisdolny"/>
        <w:rPr>
          <w:sz w:val="18"/>
          <w:szCs w:val="18"/>
        </w:rPr>
      </w:pPr>
      <w:r>
        <w:rPr>
          <w:rStyle w:val="Znakiprzypiswdolnych"/>
        </w:rPr>
        <w:footnoteRef/>
      </w:r>
      <w:r>
        <w:rPr>
          <w:sz w:val="18"/>
          <w:szCs w:val="18"/>
        </w:rPr>
        <w:t xml:space="preserve"> </w:t>
      </w:r>
      <w:r>
        <w:rPr>
          <w:sz w:val="18"/>
          <w:szCs w:val="18"/>
        </w:rPr>
        <w:t>https://gsl.nfz.gov.pl/GSL/GSL/PrzychodnieSpecjalistyczne (dostęp 4.10.2021r.)</w:t>
      </w:r>
    </w:p>
  </w:footnote>
  <w:footnote w:id="25">
    <w:p>
      <w:pPr>
        <w:pStyle w:val="Przypisdolny"/>
        <w:rPr>
          <w:sz w:val="18"/>
          <w:szCs w:val="18"/>
        </w:rPr>
      </w:pPr>
      <w:r>
        <w:rPr>
          <w:rStyle w:val="Znakiprzypiswdolnych"/>
        </w:rPr>
        <w:footnoteRef/>
      </w:r>
      <w:r>
        <w:rPr>
          <w:sz w:val="18"/>
          <w:szCs w:val="18"/>
        </w:rPr>
        <w:t xml:space="preserve"> </w:t>
      </w:r>
      <w:r>
        <w:rPr>
          <w:sz w:val="18"/>
          <w:szCs w:val="18"/>
        </w:rPr>
        <w:t>https://basiw.mz.gov.pl/index.html#/visualization?id=3404</w:t>
      </w:r>
    </w:p>
  </w:footnote>
  <w:footnote w:id="26">
    <w:p>
      <w:pPr>
        <w:pStyle w:val="Przypisdolny"/>
        <w:rPr>
          <w:sz w:val="18"/>
          <w:szCs w:val="18"/>
        </w:rPr>
      </w:pPr>
      <w:r>
        <w:rPr>
          <w:rStyle w:val="Znakiprzypiswdolnych"/>
        </w:rPr>
        <w:footnoteRef/>
      </w:r>
      <w:r>
        <w:rPr>
          <w:sz w:val="18"/>
          <w:szCs w:val="18"/>
        </w:rPr>
        <w:t xml:space="preserve"> </w:t>
      </w:r>
      <w:r>
        <w:rPr>
          <w:sz w:val="18"/>
          <w:szCs w:val="18"/>
        </w:rPr>
        <w:t>Stan na 31 XII</w:t>
      </w:r>
    </w:p>
  </w:footnote>
  <w:footnote w:id="27">
    <w:p>
      <w:pPr>
        <w:pStyle w:val="Przypisdolny"/>
        <w:rPr>
          <w:sz w:val="18"/>
          <w:szCs w:val="18"/>
        </w:rPr>
      </w:pPr>
      <w:r>
        <w:rPr>
          <w:rStyle w:val="Znakiprzypiswdolnych"/>
        </w:rPr>
        <w:footnoteRef/>
      </w:r>
      <w:r>
        <w:rPr>
          <w:sz w:val="18"/>
          <w:szCs w:val="18"/>
        </w:rPr>
        <w:t xml:space="preserve"> </w:t>
      </w:r>
      <w:r>
        <w:rPr>
          <w:sz w:val="18"/>
          <w:szCs w:val="18"/>
        </w:rPr>
        <w:t>Rejestr żłobków i klubów dziecięcych https://dane. gov.pl, dostęp z dnia 13.04.2022 r.</w:t>
      </w:r>
    </w:p>
  </w:footnote>
  <w:footnote w:id="28">
    <w:p>
      <w:pPr>
        <w:pStyle w:val="Przypisdolny"/>
        <w:rPr>
          <w:sz w:val="18"/>
          <w:szCs w:val="18"/>
        </w:rPr>
      </w:pPr>
      <w:r>
        <w:rPr>
          <w:rStyle w:val="Znakiprzypiswdolnych"/>
        </w:rPr>
        <w:footnoteRef/>
      </w:r>
      <w:r>
        <w:rPr>
          <w:sz w:val="18"/>
          <w:szCs w:val="18"/>
        </w:rPr>
        <w:t xml:space="preserve"> </w:t>
      </w:r>
      <w:r>
        <w:rPr>
          <w:rFonts w:cs="Calibri" w:cstheme="minorHAnsi"/>
          <w:iCs/>
          <w:sz w:val="18"/>
          <w:szCs w:val="18"/>
        </w:rPr>
        <w:t>dostęp z dnia 23.03.2022 r.</w:t>
      </w:r>
    </w:p>
  </w:footnote>
  <w:footnote w:id="29">
    <w:p>
      <w:pPr>
        <w:pStyle w:val="Przypisdolny"/>
        <w:rPr>
          <w:sz w:val="18"/>
          <w:szCs w:val="18"/>
        </w:rPr>
      </w:pPr>
      <w:r>
        <w:rPr>
          <w:rStyle w:val="Znakiprzypiswdolnych"/>
        </w:rPr>
        <w:footnoteRef/>
      </w:r>
      <w:r>
        <w:rPr>
          <w:sz w:val="18"/>
          <w:szCs w:val="18"/>
        </w:rPr>
        <w:t xml:space="preserve"> </w:t>
      </w:r>
      <w:r>
        <w:rPr>
          <w:sz w:val="18"/>
          <w:szCs w:val="18"/>
        </w:rPr>
        <w:t>Rejestr Szkół i Placówek Oświatowych https://rspo.gov.pl, dostęp z dnia 23.03.2022 r.</w:t>
      </w:r>
    </w:p>
  </w:footnote>
  <w:footnote w:id="30">
    <w:p>
      <w:pPr>
        <w:pStyle w:val="Przypisdolny"/>
        <w:rPr>
          <w:sz w:val="18"/>
          <w:szCs w:val="18"/>
        </w:rPr>
      </w:pPr>
      <w:r>
        <w:rPr>
          <w:rStyle w:val="Znakiprzypiswdolnych"/>
        </w:rPr>
        <w:footnoteRef/>
      </w:r>
      <w:r>
        <w:rPr>
          <w:sz w:val="18"/>
          <w:szCs w:val="18"/>
        </w:rPr>
        <w:t xml:space="preserve"> </w:t>
      </w:r>
      <w:r>
        <w:rPr>
          <w:sz w:val="18"/>
          <w:szCs w:val="18"/>
        </w:rPr>
        <w:t>Rejestr Szkół i Placówek Oświatowych https://rspo.gov.pl, dostęp z dnia 23.03.2022 r.</w:t>
      </w:r>
    </w:p>
  </w:footnote>
  <w:footnote w:id="31">
    <w:p>
      <w:pPr>
        <w:pStyle w:val="Przypisdolny"/>
        <w:rPr>
          <w:sz w:val="18"/>
          <w:szCs w:val="18"/>
        </w:rPr>
      </w:pPr>
      <w:r>
        <w:rPr>
          <w:rStyle w:val="Znakiprzypiswdolnych"/>
        </w:rPr>
        <w:footnoteRef/>
      </w:r>
      <w:r>
        <w:rPr>
          <w:sz w:val="18"/>
          <w:szCs w:val="18"/>
        </w:rPr>
        <w:t xml:space="preserve"> </w:t>
      </w:r>
      <w:r>
        <w:rPr>
          <w:sz w:val="18"/>
          <w:szCs w:val="18"/>
        </w:rPr>
        <w:t>Lista zawodów deficytowych, na poziomie kraju, województwa lub powiatu, publikowana jest na podstawie badania „Barometr zawodów”.</w:t>
      </w:r>
    </w:p>
  </w:footnote>
  <w:footnote w:id="32">
    <w:p>
      <w:pPr>
        <w:pStyle w:val="Przypisdolny"/>
        <w:rPr>
          <w:sz w:val="18"/>
          <w:szCs w:val="18"/>
          <w:lang w:eastAsia="pl-PL"/>
        </w:rPr>
      </w:pPr>
      <w:r>
        <w:rPr>
          <w:rStyle w:val="Znakiprzypiswdolnych"/>
        </w:rPr>
        <w:footnoteRef/>
      </w:r>
      <w:r>
        <w:rPr>
          <w:sz w:val="18"/>
          <w:szCs w:val="18"/>
        </w:rPr>
        <w:t xml:space="preserve"> </w:t>
      </w:r>
      <w:r>
        <w:rPr>
          <w:sz w:val="18"/>
          <w:szCs w:val="18"/>
          <w:lang w:eastAsia="pl-PL"/>
        </w:rPr>
        <w:t>Rejestr Instytucji Kultury, dla których organizatorem jest Województwo Kujawsko-Pomorskie (stan na 27 października 2021 r.)</w:t>
      </w:r>
    </w:p>
  </w:footnote>
  <w:footnote w:id="33">
    <w:p>
      <w:pPr>
        <w:pStyle w:val="Przypisdolny"/>
        <w:rPr>
          <w:sz w:val="18"/>
          <w:szCs w:val="18"/>
          <w:lang w:eastAsia="pl-PL"/>
        </w:rPr>
      </w:pPr>
      <w:r>
        <w:rPr>
          <w:rStyle w:val="Znakiprzypiswdolnych"/>
        </w:rPr>
        <w:footnoteRef/>
      </w:r>
      <w:r>
        <w:rPr>
          <w:sz w:val="18"/>
          <w:szCs w:val="18"/>
          <w:vertAlign w:val="superscript"/>
          <w:lang w:eastAsia="pl-PL"/>
        </w:rPr>
        <w:t xml:space="preserve"> </w:t>
      </w:r>
      <w:r>
        <w:rPr>
          <w:sz w:val="18"/>
          <w:szCs w:val="18"/>
          <w:lang w:eastAsia="pl-PL"/>
        </w:rPr>
        <w:t>na podstawie „Strategii Przyspieszenia 2030+”</w:t>
      </w:r>
    </w:p>
  </w:footnote>
  <w:footnote w:id="34">
    <w:p>
      <w:pPr>
        <w:pStyle w:val="Przypisdolny"/>
        <w:rPr>
          <w:sz w:val="18"/>
          <w:szCs w:val="18"/>
        </w:rPr>
      </w:pPr>
      <w:r>
        <w:rPr>
          <w:rStyle w:val="Znakiprzypiswdolnych"/>
        </w:rPr>
        <w:footnoteRef/>
      </w:r>
      <w:r>
        <w:rPr>
          <w:sz w:val="18"/>
          <w:szCs w:val="18"/>
        </w:rPr>
        <w:t xml:space="preserve"> </w:t>
      </w:r>
      <w:r>
        <w:rPr>
          <w:sz w:val="18"/>
          <w:szCs w:val="18"/>
          <w:lang w:eastAsia="pl-PL"/>
        </w:rPr>
        <w:t>GUS do grupy tej nie zalicza jednostek, zwyczajowo określanych "świetlicami", nieprowadzących działalności kulturalnej, których pomieszczenia służą do innych celów oraz świetlic szkolnych</w:t>
      </w:r>
      <w:r>
        <w:rPr>
          <w:sz w:val="18"/>
          <w:szCs w:val="18"/>
        </w:rPr>
        <w:t xml:space="preserve"> </w:t>
      </w:r>
    </w:p>
  </w:footnote>
  <w:footnote w:id="35">
    <w:p>
      <w:pPr>
        <w:pStyle w:val="Przypisdolny"/>
        <w:rPr>
          <w:sz w:val="18"/>
          <w:szCs w:val="18"/>
        </w:rPr>
      </w:pPr>
      <w:r>
        <w:rPr>
          <w:rStyle w:val="Znakiprzypiswdolnych"/>
        </w:rPr>
        <w:footnoteRef/>
      </w:r>
      <w:r>
        <w:rPr>
          <w:sz w:val="18"/>
          <w:szCs w:val="18"/>
        </w:rPr>
        <w:t xml:space="preserve"> </w:t>
      </w:r>
      <w:r>
        <w:rPr>
          <w:sz w:val="18"/>
          <w:szCs w:val="18"/>
        </w:rPr>
        <w:t>Pełen cykl szczepie</w:t>
      </w:r>
      <w:r>
        <w:rPr>
          <w:rFonts w:cs="Calibri"/>
          <w:sz w:val="18"/>
          <w:szCs w:val="18"/>
        </w:rPr>
        <w:t>ń</w:t>
      </w:r>
      <w:r>
        <w:rPr>
          <w:sz w:val="18"/>
          <w:szCs w:val="18"/>
        </w:rPr>
        <w:t xml:space="preserve"> przeciw COVID-19 dotyczy dw</w:t>
      </w:r>
      <w:r>
        <w:rPr>
          <w:rFonts w:cs="Lato"/>
          <w:sz w:val="18"/>
          <w:szCs w:val="18"/>
        </w:rPr>
        <w:t>ó</w:t>
      </w:r>
      <w:r>
        <w:rPr>
          <w:sz w:val="18"/>
          <w:szCs w:val="18"/>
        </w:rPr>
        <w:t>ch dawek preparat</w:t>
      </w:r>
      <w:r>
        <w:rPr>
          <w:rFonts w:cs="Lato"/>
          <w:sz w:val="18"/>
          <w:szCs w:val="18"/>
        </w:rPr>
        <w:t>ó</w:t>
      </w:r>
      <w:r>
        <w:rPr>
          <w:sz w:val="18"/>
          <w:szCs w:val="18"/>
        </w:rPr>
        <w:t>w dwudawkowych (AstraZeneca, Moderna, Pfizer) lub jednaj dawki preparatu jednodawkowego (Johnson&amp;Johnson)</w:t>
      </w:r>
    </w:p>
  </w:footnote>
  <w:footnote w:id="36">
    <w:p>
      <w:pPr>
        <w:pStyle w:val="Przypisdolny"/>
        <w:rPr>
          <w:sz w:val="18"/>
          <w:szCs w:val="18"/>
        </w:rPr>
      </w:pPr>
      <w:r>
        <w:rPr>
          <w:rStyle w:val="Znakiprzypiswdolnych"/>
        </w:rPr>
        <w:footnoteRef/>
      </w:r>
      <w:r>
        <w:rPr>
          <w:sz w:val="18"/>
          <w:szCs w:val="18"/>
        </w:rPr>
        <w:t>Opracowano na podstawie danych BDL GUS (aktualność na koniec 2020 roku); wg danych MPWiK z usług zbiorowego zaopatrzenia w wodę korzysta 99% ludności zamieszkałej w granicach administracyjnych Włocławka</w:t>
      </w:r>
    </w:p>
  </w:footnote>
  <w:footnote w:id="37">
    <w:p>
      <w:pPr>
        <w:pStyle w:val="Przypisdolny"/>
        <w:rPr/>
      </w:pPr>
      <w:r>
        <w:rPr>
          <w:rStyle w:val="Znakiprzypiswdolnych"/>
        </w:rPr>
        <w:footnoteRef/>
      </w:r>
      <w:r>
        <w:rPr/>
        <w:t xml:space="preserve"> </w:t>
      </w:r>
      <w:r>
        <w:rPr>
          <w:sz w:val="18"/>
          <w:szCs w:val="18"/>
        </w:rPr>
        <w:t xml:space="preserve">Opracowano na podstawie danych BDL GUS (aktualność na koniec 2020 roku); wg danych MPWiK 96% mieszkańców </w:t>
        <w:br/>
        <w:t>w granicach administracyjnych miasta jest objęta systemem kanalizacji zbiorczej</w:t>
      </w:r>
    </w:p>
  </w:footnote>
  <w:footnote w:id="38">
    <w:p>
      <w:pPr>
        <w:pStyle w:val="Przypisdolny"/>
        <w:rPr>
          <w:sz w:val="18"/>
          <w:szCs w:val="18"/>
        </w:rPr>
      </w:pPr>
      <w:r>
        <w:rPr>
          <w:rStyle w:val="Znakiprzypiswdolnych"/>
        </w:rPr>
        <w:footnoteRef/>
      </w:r>
      <w:r>
        <w:rPr>
          <w:sz w:val="18"/>
          <w:szCs w:val="18"/>
        </w:rPr>
        <w:t xml:space="preserve"> </w:t>
      </w:r>
      <w:r>
        <w:rPr>
          <w:sz w:val="18"/>
          <w:szCs w:val="18"/>
        </w:rPr>
        <w:t>https://susza.iung.pulawy.pl</w:t>
      </w:r>
    </w:p>
  </w:footnote>
  <w:footnote w:id="39">
    <w:p>
      <w:pPr>
        <w:pStyle w:val="Przypisdolny"/>
        <w:rPr>
          <w:sz w:val="18"/>
          <w:szCs w:val="18"/>
        </w:rPr>
      </w:pPr>
      <w:r>
        <w:rPr>
          <w:rStyle w:val="Znakiprzypiswdolnych"/>
        </w:rPr>
        <w:footnoteRef/>
      </w:r>
      <w:r>
        <w:rPr>
          <w:sz w:val="18"/>
          <w:szCs w:val="18"/>
        </w:rPr>
        <w:t xml:space="preserve"> </w:t>
      </w:r>
      <w:r>
        <w:rPr>
          <w:sz w:val="18"/>
          <w:szCs w:val="18"/>
        </w:rPr>
        <w:t>https://klimat.imgw.pl</w:t>
      </w:r>
    </w:p>
  </w:footnote>
  <w:footnote w:id="40">
    <w:p>
      <w:pPr>
        <w:pStyle w:val="Przypisdolny"/>
        <w:rPr>
          <w:sz w:val="18"/>
          <w:szCs w:val="18"/>
        </w:rPr>
      </w:pPr>
      <w:r>
        <w:rPr>
          <w:rStyle w:val="Znakiprzypiswdolnych"/>
        </w:rPr>
        <w:footnoteRef/>
      </w:r>
      <w:r>
        <w:rPr>
          <w:sz w:val="18"/>
          <w:szCs w:val="18"/>
        </w:rPr>
        <w:t xml:space="preserve"> </w:t>
      </w:r>
      <w:r>
        <w:rPr>
          <w:sz w:val="18"/>
          <w:szCs w:val="18"/>
        </w:rPr>
        <w:t>Gospodarka energetyczna i gazownictwo w 2021 r. GUS, 2022</w:t>
      </w:r>
    </w:p>
  </w:footnote>
  <w:footnote w:id="41">
    <w:p>
      <w:pPr>
        <w:pStyle w:val="Przypisdolny"/>
        <w:rPr>
          <w:sz w:val="18"/>
          <w:szCs w:val="18"/>
        </w:rPr>
      </w:pPr>
      <w:r>
        <w:rPr>
          <w:rStyle w:val="Znakiprzypiswdolnych"/>
        </w:rPr>
        <w:footnoteRef/>
      </w:r>
      <w:r>
        <w:rPr>
          <w:sz w:val="18"/>
          <w:szCs w:val="18"/>
        </w:rPr>
        <w:t xml:space="preserve"> </w:t>
      </w:r>
      <w:r>
        <w:rPr>
          <w:sz w:val="18"/>
          <w:szCs w:val="18"/>
        </w:rPr>
        <w:t>Opracowanie metodologii i przeprowadzenie badania skali działań termomodernizacyjnych budynków mieszkalnych wielomieszkaniowych. GUS, 2018</w:t>
      </w:r>
    </w:p>
  </w:footnote>
  <w:footnote w:id="42">
    <w:p>
      <w:pPr>
        <w:pStyle w:val="Przypisdolny"/>
        <w:rPr>
          <w:sz w:val="18"/>
          <w:szCs w:val="18"/>
        </w:rPr>
      </w:pPr>
      <w:r>
        <w:rPr>
          <w:rStyle w:val="Znakiprzypiswdolnych"/>
        </w:rPr>
        <w:footnoteRef/>
      </w:r>
      <w:r>
        <w:rPr>
          <w:sz w:val="18"/>
          <w:szCs w:val="18"/>
        </w:rPr>
        <w:t xml:space="preserve"> </w:t>
      </w:r>
      <w:r>
        <w:rPr>
          <w:sz w:val="18"/>
          <w:szCs w:val="18"/>
        </w:rPr>
        <w:t>na podstawie delimitacji wykonanej na potrzeby „Strategii Przyspieszenia 2030+”</w:t>
      </w:r>
    </w:p>
  </w:footnote>
  <w:footnote w:id="43">
    <w:p>
      <w:pPr>
        <w:pStyle w:val="Przypisdolny"/>
        <w:rPr>
          <w:sz w:val="18"/>
          <w:szCs w:val="18"/>
        </w:rPr>
      </w:pPr>
      <w:r>
        <w:rPr>
          <w:rStyle w:val="Znakiprzypiswdolnych"/>
        </w:rPr>
        <w:footnoteRef/>
      </w:r>
      <w:r>
        <w:rPr>
          <w:sz w:val="18"/>
          <w:szCs w:val="18"/>
        </w:rPr>
        <w:t xml:space="preserve"> </w:t>
      </w:r>
      <w:r>
        <w:rPr>
          <w:sz w:val="18"/>
          <w:szCs w:val="18"/>
        </w:rPr>
        <w:t>wskaźniki, względem których gminy uznano za problemowe tj. w przypadku których gmina wykazała negatywne wartości (poniżej lub powyżej przyjętego kryterium)</w:t>
      </w:r>
    </w:p>
    <w:p>
      <w:pPr>
        <w:pStyle w:val="Przypisdolny"/>
        <w:numPr>
          <w:ilvl w:val="0"/>
          <w:numId w:val="1"/>
        </w:numPr>
        <w:rPr>
          <w:sz w:val="18"/>
          <w:szCs w:val="18"/>
        </w:rPr>
      </w:pPr>
      <w:r>
        <w:rPr>
          <w:sz w:val="18"/>
          <w:szCs w:val="18"/>
        </w:rPr>
        <w:t>saldo migracji wewnętrznych na 1 tys. mieszkańców (wartość uśredniona z lat 2014-2018) (</w:t>
      </w:r>
      <w:r>
        <w:rPr>
          <w:b/>
          <w:sz w:val="18"/>
          <w:szCs w:val="18"/>
        </w:rPr>
        <w:t>Baruchowo, Boniewo, Chodecz, Lubanie, Lubień Kujawski, Lubraniec</w:t>
      </w:r>
      <w:r>
        <w:rPr>
          <w:sz w:val="18"/>
          <w:szCs w:val="18"/>
        </w:rPr>
        <w:t>)</w:t>
      </w:r>
    </w:p>
    <w:p>
      <w:pPr>
        <w:pStyle w:val="Przypisdolny"/>
        <w:numPr>
          <w:ilvl w:val="0"/>
          <w:numId w:val="1"/>
        </w:numPr>
        <w:rPr>
          <w:sz w:val="18"/>
          <w:szCs w:val="18"/>
        </w:rPr>
      </w:pPr>
      <w:r>
        <w:rPr>
          <w:sz w:val="18"/>
          <w:szCs w:val="18"/>
        </w:rPr>
        <w:t>zmiana liczby ludności w latach 2010-2018 (2010=100%) (</w:t>
      </w:r>
      <w:r>
        <w:rPr>
          <w:b/>
          <w:sz w:val="18"/>
          <w:szCs w:val="18"/>
        </w:rPr>
        <w:t>Baruchowo, Boniewo, Choceń, Chodecz, Lubanie, Lubień Kujawski, Lubraniec</w:t>
      </w:r>
      <w:r>
        <w:rPr>
          <w:sz w:val="18"/>
          <w:szCs w:val="18"/>
        </w:rPr>
        <w:t>)</w:t>
      </w:r>
    </w:p>
    <w:p>
      <w:pPr>
        <w:pStyle w:val="Przypisdolny"/>
        <w:numPr>
          <w:ilvl w:val="0"/>
          <w:numId w:val="1"/>
        </w:numPr>
        <w:rPr>
          <w:sz w:val="18"/>
          <w:szCs w:val="18"/>
        </w:rPr>
      </w:pPr>
      <w:r>
        <w:rPr>
          <w:sz w:val="18"/>
          <w:szCs w:val="18"/>
        </w:rPr>
        <w:t>wyniki egzaminów z matematyki i języka angielskiego na poziomie szkoły podstawowej (wartość uśredniona dla lat 2015-2016) oraz gimnazjum (wartość uśredniona dla lat 2016-2018) jako procent średniej krajowej (</w:t>
      </w:r>
      <w:r>
        <w:rPr>
          <w:b/>
          <w:sz w:val="18"/>
          <w:szCs w:val="18"/>
        </w:rPr>
        <w:t>Choceń, Chodecz, Lubanie</w:t>
      </w:r>
      <w:r>
        <w:rPr>
          <w:sz w:val="18"/>
          <w:szCs w:val="18"/>
        </w:rPr>
        <w:t>)</w:t>
      </w:r>
    </w:p>
    <w:p>
      <w:pPr>
        <w:pStyle w:val="Przypisdolny"/>
        <w:numPr>
          <w:ilvl w:val="0"/>
          <w:numId w:val="1"/>
        </w:numPr>
        <w:rPr>
          <w:sz w:val="18"/>
          <w:szCs w:val="18"/>
        </w:rPr>
      </w:pPr>
      <w:r>
        <w:rPr>
          <w:sz w:val="18"/>
          <w:szCs w:val="18"/>
        </w:rPr>
        <w:t>udział zarejestrowanych osób bezrobotnych powyżej 12 miesięcy w ludności w wieku produkcyjnym w 2018r. (</w:t>
      </w:r>
      <w:r>
        <w:rPr>
          <w:b/>
          <w:sz w:val="18"/>
          <w:szCs w:val="18"/>
        </w:rPr>
        <w:t>Baruchowo, Boniewo, Choceń, Chodecz, Lubanie, Lubień Kujawski, Lubraniec)</w:t>
      </w:r>
    </w:p>
    <w:p>
      <w:pPr>
        <w:pStyle w:val="Przypisdolny"/>
        <w:numPr>
          <w:ilvl w:val="0"/>
          <w:numId w:val="1"/>
        </w:numPr>
        <w:rPr>
          <w:sz w:val="18"/>
          <w:szCs w:val="18"/>
        </w:rPr>
      </w:pPr>
      <w:r>
        <w:rPr>
          <w:sz w:val="18"/>
          <w:szCs w:val="18"/>
        </w:rPr>
        <w:t>udział bezrobotnych kobiet w liczbie kobiet w wieku produkcyjnym w 2018 r. (</w:t>
      </w:r>
      <w:r>
        <w:rPr>
          <w:b/>
          <w:sz w:val="18"/>
          <w:szCs w:val="18"/>
        </w:rPr>
        <w:t>Baruchowo, Boniewo, Choceń, Chodecz, Lubanie, Lubień Kujawski, Lubraniec</w:t>
      </w:r>
      <w:r>
        <w:rPr>
          <w:sz w:val="18"/>
          <w:szCs w:val="18"/>
        </w:rPr>
        <w:t xml:space="preserve">) </w:t>
      </w:r>
    </w:p>
    <w:p>
      <w:pPr>
        <w:pStyle w:val="Przypisdolny"/>
        <w:numPr>
          <w:ilvl w:val="0"/>
          <w:numId w:val="1"/>
        </w:numPr>
        <w:rPr>
          <w:sz w:val="18"/>
          <w:szCs w:val="18"/>
        </w:rPr>
      </w:pPr>
      <w:r>
        <w:rPr>
          <w:sz w:val="18"/>
          <w:szCs w:val="18"/>
        </w:rPr>
        <w:t>udział beneficjentów środowiskowej pomocy społecznej w liczbie ludności ogółem w 2017 r. (</w:t>
      </w:r>
      <w:r>
        <w:rPr>
          <w:b/>
          <w:sz w:val="18"/>
          <w:szCs w:val="18"/>
        </w:rPr>
        <w:t>Baruchowo, Boniewo, Choceń, Chodecz, Lubień Kujawski</w:t>
      </w:r>
      <w:r>
        <w:rPr>
          <w:sz w:val="18"/>
          <w:szCs w:val="18"/>
        </w:rPr>
        <w:t xml:space="preserve">) </w:t>
      </w:r>
    </w:p>
    <w:p>
      <w:pPr>
        <w:pStyle w:val="Przypisdolny"/>
        <w:numPr>
          <w:ilvl w:val="0"/>
          <w:numId w:val="1"/>
        </w:numPr>
        <w:rPr>
          <w:sz w:val="18"/>
          <w:szCs w:val="18"/>
        </w:rPr>
      </w:pPr>
      <w:r>
        <w:rPr>
          <w:sz w:val="18"/>
          <w:szCs w:val="18"/>
        </w:rPr>
        <w:t xml:space="preserve">udział dzieci w wieku do 17 lat, na które rodzice otrzymują zasiłek rodzinny w ogólnej liczbie dzieci w tym wieku   </w:t>
        <w:br/>
        <w:t>w 2017 r. (</w:t>
      </w:r>
      <w:r>
        <w:rPr>
          <w:b/>
          <w:sz w:val="18"/>
          <w:szCs w:val="18"/>
        </w:rPr>
        <w:t>Baruchowo, Boniewo, Choceń, Chodecz, Lubraniec</w:t>
      </w:r>
      <w:r>
        <w:rPr>
          <w:sz w:val="18"/>
          <w:szCs w:val="18"/>
        </w:rPr>
        <w:t xml:space="preserve">) </w:t>
      </w:r>
    </w:p>
    <w:p>
      <w:pPr>
        <w:pStyle w:val="Przypisdolny"/>
        <w:numPr>
          <w:ilvl w:val="0"/>
          <w:numId w:val="1"/>
        </w:numPr>
        <w:rPr>
          <w:sz w:val="18"/>
          <w:szCs w:val="18"/>
        </w:rPr>
      </w:pPr>
      <w:r>
        <w:rPr>
          <w:sz w:val="18"/>
          <w:szCs w:val="18"/>
        </w:rPr>
        <w:t>udział dzieci w wieku 3-5 lat objętych wychowaniem przedszkolnym w 2017 r. (</w:t>
      </w:r>
      <w:r>
        <w:rPr>
          <w:b/>
          <w:sz w:val="18"/>
          <w:szCs w:val="18"/>
        </w:rPr>
        <w:t>Boniewo, Lubień Kujawski, Lubraniec</w:t>
      </w:r>
      <w:r>
        <w:rPr>
          <w:sz w:val="18"/>
          <w:szCs w:val="18"/>
        </w:rPr>
        <w:t xml:space="preserve">) </w:t>
      </w:r>
    </w:p>
    <w:p>
      <w:pPr>
        <w:pStyle w:val="Przypisdolny"/>
        <w:numPr>
          <w:ilvl w:val="0"/>
          <w:numId w:val="1"/>
        </w:numPr>
        <w:rPr>
          <w:sz w:val="18"/>
          <w:szCs w:val="18"/>
        </w:rPr>
      </w:pPr>
      <w:r>
        <w:rPr>
          <w:sz w:val="18"/>
          <w:szCs w:val="18"/>
        </w:rPr>
        <w:t>udział osób uprawnionych do głosowania, które oddały głos w I turze wyborów samorządowych w latach 2010, 2014 i 2018 (%) (</w:t>
      </w:r>
      <w:r>
        <w:rPr>
          <w:b/>
          <w:sz w:val="18"/>
          <w:szCs w:val="18"/>
        </w:rPr>
        <w:t>Baruchowo)</w:t>
      </w:r>
    </w:p>
    <w:p>
      <w:pPr>
        <w:pStyle w:val="Przypisdolny"/>
        <w:numPr>
          <w:ilvl w:val="0"/>
          <w:numId w:val="1"/>
        </w:numPr>
        <w:rPr>
          <w:sz w:val="18"/>
          <w:szCs w:val="18"/>
        </w:rPr>
      </w:pPr>
      <w:r>
        <w:rPr>
          <w:sz w:val="18"/>
          <w:szCs w:val="18"/>
        </w:rPr>
        <w:t>liczba podmiotów wpisanych do rejestru REGON na 1 tys. ludności w 2018 r. (</w:t>
      </w:r>
      <w:r>
        <w:rPr>
          <w:b/>
          <w:sz w:val="18"/>
          <w:szCs w:val="18"/>
        </w:rPr>
        <w:t>Baruchowo, Boniewo, Choceń, Chodecz, Lubanie, Lubień Kujawski, Lubraniec</w:t>
      </w:r>
      <w:r>
        <w:rPr>
          <w:sz w:val="18"/>
          <w:szCs w:val="18"/>
        </w:rPr>
        <w:t>)</w:t>
      </w:r>
    </w:p>
    <w:p>
      <w:pPr>
        <w:pStyle w:val="Przypisdolny"/>
        <w:numPr>
          <w:ilvl w:val="0"/>
          <w:numId w:val="1"/>
        </w:numPr>
        <w:rPr>
          <w:sz w:val="18"/>
          <w:szCs w:val="18"/>
        </w:rPr>
      </w:pPr>
      <w:r>
        <w:rPr>
          <w:sz w:val="18"/>
          <w:szCs w:val="18"/>
        </w:rPr>
        <w:t xml:space="preserve">liczba osób fizycznych prowadzących działalność gospodarczą na 100 osób w wieku produkcyjnym w 2018r. </w:t>
      </w:r>
      <w:r>
        <w:rPr>
          <w:b/>
          <w:sz w:val="18"/>
          <w:szCs w:val="18"/>
        </w:rPr>
        <w:t>(Baruchowo, Boniewo, Choceń, Chodecz, Lubanie, Lubień Kujawski, Lubraniec</w:t>
      </w:r>
      <w:r>
        <w:rPr>
          <w:sz w:val="18"/>
          <w:szCs w:val="18"/>
        </w:rPr>
        <w:t>)</w:t>
      </w:r>
    </w:p>
  </w:footnote>
  <w:footnote w:id="44">
    <w:p>
      <w:pPr>
        <w:pStyle w:val="Przypisdolny"/>
        <w:rPr>
          <w:sz w:val="18"/>
          <w:szCs w:val="18"/>
        </w:rPr>
      </w:pPr>
      <w:r>
        <w:rPr>
          <w:rStyle w:val="Znakiprzypiswdolnych"/>
        </w:rPr>
        <w:footnoteRef/>
      </w:r>
      <w:r>
        <w:rPr>
          <w:sz w:val="18"/>
          <w:szCs w:val="18"/>
        </w:rPr>
        <w:t xml:space="preserve"> </w:t>
      </w:r>
      <w:r>
        <w:rPr>
          <w:sz w:val="18"/>
          <w:szCs w:val="18"/>
        </w:rPr>
        <w:t>wskaźniki, względem których gminy uznano za problemowe tj. w przypadku których gmina wykazała negatywne wartości (poniżej lub powyżej przyjętego kryterium)</w:t>
      </w:r>
    </w:p>
    <w:p>
      <w:pPr>
        <w:pStyle w:val="Przypisdolny"/>
        <w:numPr>
          <w:ilvl w:val="0"/>
          <w:numId w:val="2"/>
        </w:numPr>
        <w:rPr>
          <w:sz w:val="18"/>
          <w:szCs w:val="18"/>
        </w:rPr>
      </w:pPr>
      <w:r>
        <w:rPr>
          <w:sz w:val="18"/>
          <w:szCs w:val="18"/>
        </w:rPr>
        <w:t>saldo migracji wewnętrznych na 1 tys. mieszkańców (wartość uśredniona z lat 2014-2018) (</w:t>
      </w:r>
      <w:r>
        <w:rPr>
          <w:b/>
          <w:sz w:val="18"/>
          <w:szCs w:val="18"/>
        </w:rPr>
        <w:t>Włocławek gm. miejska, Izbica Kujawska</w:t>
      </w:r>
      <w:r>
        <w:rPr>
          <w:sz w:val="18"/>
          <w:szCs w:val="18"/>
        </w:rPr>
        <w:t>)</w:t>
      </w:r>
    </w:p>
    <w:p>
      <w:pPr>
        <w:pStyle w:val="Przypisdolny"/>
        <w:numPr>
          <w:ilvl w:val="0"/>
          <w:numId w:val="1"/>
        </w:numPr>
        <w:rPr>
          <w:sz w:val="18"/>
          <w:szCs w:val="18"/>
        </w:rPr>
      </w:pPr>
      <w:r>
        <w:rPr>
          <w:sz w:val="18"/>
          <w:szCs w:val="18"/>
        </w:rPr>
        <w:t>zmiana liczby ludności w latach 2010-2018 (2010=100%) (</w:t>
      </w:r>
      <w:r>
        <w:rPr>
          <w:b/>
          <w:sz w:val="18"/>
          <w:szCs w:val="18"/>
        </w:rPr>
        <w:t>Włocławek gm. miejska, Izbica Kujawska)</w:t>
      </w:r>
    </w:p>
    <w:p>
      <w:pPr>
        <w:pStyle w:val="Przypisdolny"/>
        <w:numPr>
          <w:ilvl w:val="0"/>
          <w:numId w:val="1"/>
        </w:numPr>
        <w:rPr>
          <w:sz w:val="18"/>
          <w:szCs w:val="18"/>
        </w:rPr>
      </w:pPr>
      <w:r>
        <w:rPr>
          <w:sz w:val="18"/>
          <w:szCs w:val="18"/>
        </w:rPr>
        <w:t>udział zarejestrowanych osób bezrobotnych powyżej 12 miesięcy w ludności w wieku produkcyjnym w 2018r. (</w:t>
      </w:r>
      <w:r>
        <w:rPr>
          <w:b/>
          <w:sz w:val="18"/>
          <w:szCs w:val="18"/>
        </w:rPr>
        <w:t>Włocławek gm. miejska, Izbica Kujawska)</w:t>
      </w:r>
    </w:p>
    <w:p>
      <w:pPr>
        <w:pStyle w:val="Przypisdolny"/>
        <w:numPr>
          <w:ilvl w:val="0"/>
          <w:numId w:val="1"/>
        </w:numPr>
        <w:rPr>
          <w:sz w:val="18"/>
          <w:szCs w:val="18"/>
        </w:rPr>
      </w:pPr>
      <w:r>
        <w:rPr>
          <w:sz w:val="18"/>
          <w:szCs w:val="18"/>
        </w:rPr>
        <w:t>udział bezrobotnych kobiet w liczbie kobiet w wieku produkcyjnym w 2018 r.  (</w:t>
      </w:r>
      <w:r>
        <w:rPr>
          <w:b/>
          <w:sz w:val="18"/>
          <w:szCs w:val="18"/>
        </w:rPr>
        <w:t>Włocławek gm. miejska, Izbica Kujawska)</w:t>
      </w:r>
    </w:p>
    <w:p>
      <w:pPr>
        <w:pStyle w:val="Przypisdolny"/>
        <w:numPr>
          <w:ilvl w:val="0"/>
          <w:numId w:val="1"/>
        </w:numPr>
        <w:rPr>
          <w:sz w:val="18"/>
          <w:szCs w:val="18"/>
        </w:rPr>
      </w:pPr>
      <w:r>
        <w:rPr>
          <w:sz w:val="18"/>
          <w:szCs w:val="18"/>
        </w:rPr>
        <w:t>udział beneficjentów środowiskowej pomocy społecznej w liczbie ludności ogółem w 2017 r.</w:t>
      </w:r>
      <w:r>
        <w:rPr>
          <w:b/>
          <w:sz w:val="18"/>
          <w:szCs w:val="18"/>
        </w:rPr>
        <w:t xml:space="preserve"> (Włocławek</w:t>
      </w:r>
      <w:r>
        <w:rPr>
          <w:sz w:val="18"/>
          <w:szCs w:val="18"/>
        </w:rPr>
        <w:t xml:space="preserve"> </w:t>
        <w:br/>
      </w:r>
      <w:r>
        <w:rPr>
          <w:b/>
          <w:sz w:val="18"/>
          <w:szCs w:val="18"/>
        </w:rPr>
        <w:t>gm. miejska)</w:t>
      </w:r>
    </w:p>
    <w:p>
      <w:pPr>
        <w:pStyle w:val="Przypisdolny"/>
        <w:numPr>
          <w:ilvl w:val="0"/>
          <w:numId w:val="1"/>
        </w:numPr>
        <w:rPr>
          <w:sz w:val="18"/>
          <w:szCs w:val="18"/>
        </w:rPr>
      </w:pPr>
      <w:r>
        <w:rPr>
          <w:sz w:val="18"/>
          <w:szCs w:val="18"/>
        </w:rPr>
        <w:t xml:space="preserve">udział dzieci w wieku do 17 lat, na które rodzice otrzymują zasiłek rodzinny w ogólnej liczbie dzieci w tym wieku   </w:t>
        <w:br/>
        <w:t>w 2017 r. (</w:t>
      </w:r>
      <w:r>
        <w:rPr>
          <w:b/>
          <w:sz w:val="18"/>
          <w:szCs w:val="18"/>
        </w:rPr>
        <w:t>Izbica Kujawska)</w:t>
      </w:r>
    </w:p>
    <w:p>
      <w:pPr>
        <w:pStyle w:val="Przypisdolny"/>
        <w:numPr>
          <w:ilvl w:val="0"/>
          <w:numId w:val="1"/>
        </w:numPr>
        <w:rPr>
          <w:sz w:val="18"/>
          <w:szCs w:val="18"/>
        </w:rPr>
      </w:pPr>
      <w:r>
        <w:rPr>
          <w:sz w:val="18"/>
          <w:szCs w:val="18"/>
        </w:rPr>
        <w:t>udział dzieci w wieku 3-5 lat objętych wychowaniem przedszkolnym w 2017 r. (</w:t>
      </w:r>
      <w:r>
        <w:rPr>
          <w:b/>
          <w:sz w:val="18"/>
          <w:szCs w:val="18"/>
        </w:rPr>
        <w:t>Izbica Kujawska</w:t>
      </w:r>
      <w:r>
        <w:rPr>
          <w:sz w:val="18"/>
          <w:szCs w:val="18"/>
        </w:rPr>
        <w:t>)</w:t>
      </w:r>
    </w:p>
    <w:p>
      <w:pPr>
        <w:pStyle w:val="Przypisdolny"/>
        <w:numPr>
          <w:ilvl w:val="0"/>
          <w:numId w:val="1"/>
        </w:numPr>
        <w:rPr>
          <w:sz w:val="18"/>
          <w:szCs w:val="18"/>
        </w:rPr>
      </w:pPr>
      <w:r>
        <w:rPr>
          <w:sz w:val="18"/>
          <w:szCs w:val="18"/>
        </w:rPr>
        <w:t>udział osób uprawnionych do głosowania, które oddały głos w I turze wyborów samorządowych w latach 2010, 2014 i 2018 (%) (</w:t>
      </w:r>
      <w:r>
        <w:rPr>
          <w:b/>
          <w:sz w:val="18"/>
          <w:szCs w:val="18"/>
        </w:rPr>
        <w:t>Włocławek gm. miejska)</w:t>
      </w:r>
    </w:p>
  </w:footnote>
  <w:footnote w:id="45">
    <w:p>
      <w:pPr>
        <w:pStyle w:val="Przypisdolny"/>
        <w:rPr>
          <w:sz w:val="18"/>
          <w:szCs w:val="18"/>
        </w:rPr>
      </w:pPr>
      <w:r>
        <w:rPr>
          <w:rStyle w:val="Znakiprzypiswdolnych"/>
        </w:rPr>
        <w:footnoteRef/>
      </w:r>
      <w:r>
        <w:rPr>
          <w:sz w:val="18"/>
          <w:szCs w:val="18"/>
        </w:rPr>
        <w:t xml:space="preserve"> </w:t>
      </w:r>
      <w:r>
        <w:rPr>
          <w:sz w:val="18"/>
          <w:szCs w:val="18"/>
        </w:rPr>
        <w:t>wskaźniki, względem których gminę uznano za problemową tj. w przypadku których gmina wykazała negatywne wartości (poniżej przyjętego kryterium)</w:t>
      </w:r>
    </w:p>
    <w:p>
      <w:pPr>
        <w:pStyle w:val="Przypisdolny"/>
        <w:numPr>
          <w:ilvl w:val="0"/>
          <w:numId w:val="3"/>
        </w:numPr>
        <w:rPr>
          <w:sz w:val="18"/>
          <w:szCs w:val="18"/>
        </w:rPr>
      </w:pPr>
      <w:r>
        <w:rPr>
          <w:sz w:val="18"/>
          <w:szCs w:val="18"/>
        </w:rPr>
        <w:t xml:space="preserve">liczba podmiotów wpisanych do rejestru REGON na 1 tys. ludności w 2018r. </w:t>
      </w:r>
    </w:p>
    <w:p>
      <w:pPr>
        <w:pStyle w:val="Przypisdolny"/>
        <w:numPr>
          <w:ilvl w:val="0"/>
          <w:numId w:val="1"/>
        </w:numPr>
        <w:rPr>
          <w:sz w:val="18"/>
          <w:szCs w:val="18"/>
        </w:rPr>
      </w:pPr>
      <w:r>
        <w:rPr>
          <w:sz w:val="18"/>
          <w:szCs w:val="18"/>
        </w:rPr>
        <w:t xml:space="preserve">liczba osób fizycznych prowadzących działalność gospodarczą na 100 osób w wieku produkcyjnym w 2018r. </w:t>
      </w:r>
    </w:p>
  </w:footnote>
  <w:footnote w:id="46">
    <w:p>
      <w:pPr>
        <w:pStyle w:val="Przypisdolny"/>
        <w:rPr>
          <w:sz w:val="18"/>
          <w:szCs w:val="18"/>
        </w:rPr>
      </w:pPr>
      <w:r>
        <w:rPr>
          <w:rStyle w:val="Znakiprzypiswdolnych"/>
        </w:rPr>
        <w:footnoteRef/>
      </w:r>
      <w:r>
        <w:rPr>
          <w:sz w:val="18"/>
          <w:szCs w:val="18"/>
        </w:rPr>
        <w:t xml:space="preserve"> </w:t>
      </w:r>
      <w:r>
        <w:rPr>
          <w:sz w:val="18"/>
          <w:szCs w:val="18"/>
        </w:rPr>
        <w:t>na podstawie delimitacji wykonanej na potrzeby „Strategii na Rzecz Odpowiedzialnego Rozwoju” a następnie zaktualizowanej w roku 2020 („Zaktualizowana lista gmin zagrożonych trwałą marginalizacją, programowanie 2021-2027” oraz „Zaktualizowana imienna lista 139 miast średnich tracących funkcje społeczno-gospodarcze”)</w:t>
      </w:r>
    </w:p>
  </w:footnote>
  <w:footnote w:id="47">
    <w:p>
      <w:pPr>
        <w:pStyle w:val="Default"/>
        <w:rPr>
          <w:rFonts w:ascii="Calibri" w:hAnsi="Calibri" w:cs="Calibri" w:asciiTheme="minorHAnsi" w:cstheme="minorHAnsi" w:hAnsiTheme="minorHAnsi"/>
          <w:sz w:val="18"/>
          <w:szCs w:val="18"/>
        </w:rPr>
      </w:pPr>
      <w:r>
        <w:rPr>
          <w:rStyle w:val="Znakiprzypiswdolnych"/>
        </w:rPr>
        <w:footnoteRef/>
      </w:r>
      <w:r>
        <w:rPr>
          <w:rFonts w:cs="Calibri" w:ascii="Calibri" w:hAnsi="Calibri" w:asciiTheme="minorHAnsi" w:cstheme="minorHAnsi" w:hAnsiTheme="minorHAnsi"/>
          <w:sz w:val="18"/>
          <w:szCs w:val="18"/>
        </w:rPr>
        <w:t xml:space="preserve"> </w:t>
      </w:r>
      <w:r>
        <w:rPr>
          <w:rFonts w:cs="Calibri" w:ascii="Calibri" w:hAnsi="Calibri" w:asciiTheme="minorHAnsi" w:cstheme="minorHAnsi" w:hAnsiTheme="minorHAnsi"/>
          <w:sz w:val="18"/>
          <w:szCs w:val="18"/>
        </w:rPr>
        <w:t>Załącznik do Uchwały nr 9/312/23 Zarządu Województwa Kujawsko-Pomorskiego z dnia 1 marca 2023 r.</w:t>
      </w:r>
    </w:p>
  </w:footnote>
  <w:footnote w:id="48">
    <w:p>
      <w:pPr>
        <w:pStyle w:val="Przypisdolny"/>
        <w:ind w:left="142" w:hanging="142"/>
        <w:rPr>
          <w:sz w:val="18"/>
          <w:szCs w:val="18"/>
        </w:rPr>
      </w:pPr>
      <w:r>
        <w:rPr>
          <w:rStyle w:val="Znakiprzypiswdolnych"/>
        </w:rPr>
        <w:footnoteRef/>
      </w:r>
      <w:r>
        <w:rPr>
          <w:sz w:val="18"/>
          <w:szCs w:val="18"/>
        </w:rPr>
        <w:tab/>
        <w:t xml:space="preserve"> </w:t>
      </w:r>
      <w:r>
        <w:rPr>
          <w:sz w:val="18"/>
          <w:szCs w:val="18"/>
        </w:rPr>
        <w:t>Organy statutowe zarządzające partnerstwem</w:t>
      </w:r>
    </w:p>
    <w:p>
      <w:pPr>
        <w:pStyle w:val="Przypisdolny"/>
        <w:ind w:left="142" w:hanging="142"/>
        <w:rPr>
          <w:sz w:val="18"/>
          <w:szCs w:val="18"/>
        </w:rPr>
      </w:pPr>
      <w:r>
        <w:rPr/>
      </w:r>
    </w:p>
  </w:footnote>
  <w:footnote w:id="49">
    <w:p>
      <w:pPr>
        <w:pStyle w:val="Przypisdolny"/>
        <w:ind w:left="142" w:hanging="142"/>
        <w:rPr>
          <w:sz w:val="18"/>
          <w:szCs w:val="18"/>
        </w:rPr>
      </w:pPr>
      <w:r>
        <w:rPr>
          <w:rStyle w:val="Znakiprzypiswdolnych"/>
        </w:rPr>
        <w:footnoteRef/>
      </w:r>
      <w:r>
        <w:rPr>
          <w:sz w:val="18"/>
          <w:szCs w:val="18"/>
        </w:rPr>
        <w:tab/>
        <w:t xml:space="preserve"> </w:t>
      </w:r>
      <w:r>
        <w:rPr>
          <w:sz w:val="18"/>
          <w:szCs w:val="18"/>
        </w:rPr>
        <w:t>Organy statutowe zarządzające partnerstwem</w:t>
      </w:r>
    </w:p>
  </w:footnote>
  <w:footnote w:id="50">
    <w:p>
      <w:pPr>
        <w:pStyle w:val="Przypisdolny"/>
        <w:rPr>
          <w:sz w:val="18"/>
          <w:szCs w:val="18"/>
        </w:rPr>
      </w:pPr>
      <w:r>
        <w:rPr>
          <w:rStyle w:val="Znakiprzypiswdolnych"/>
        </w:rPr>
        <w:footnoteRef/>
      </w:r>
      <w:r>
        <w:rPr>
          <w:sz w:val="18"/>
          <w:szCs w:val="18"/>
        </w:rPr>
        <w:t xml:space="preserve"> </w:t>
      </w:r>
      <w:r>
        <w:rPr>
          <w:sz w:val="18"/>
          <w:szCs w:val="18"/>
        </w:rPr>
        <w:t xml:space="preserve">Jeżeli w danym roku raportowym w przypadku opisywanego projektu nie były prowadzone żadne działania, w tym polu należy o tym poinformować </w:t>
      </w:r>
    </w:p>
  </w:footnote>
  <w:footnote w:id="51">
    <w:p>
      <w:pPr>
        <w:pStyle w:val="Przypisdolny"/>
        <w:ind w:left="142" w:hanging="142"/>
        <w:rPr>
          <w:sz w:val="18"/>
          <w:szCs w:val="18"/>
        </w:rPr>
      </w:pPr>
      <w:r>
        <w:rPr>
          <w:rStyle w:val="Znakiprzypiswdolnych"/>
        </w:rPr>
        <w:footnoteRef/>
      </w:r>
      <w:r>
        <w:rPr>
          <w:sz w:val="18"/>
          <w:szCs w:val="18"/>
        </w:rPr>
        <w:tab/>
        <w:t xml:space="preserve"> </w:t>
      </w:r>
      <w:r>
        <w:rPr>
          <w:sz w:val="18"/>
          <w:szCs w:val="18"/>
        </w:rPr>
        <w:t>Patrz wyjaśnienia poniżej tabeli.</w:t>
      </w:r>
    </w:p>
  </w:footnote>
  <w:footnote w:id="52">
    <w:p>
      <w:pPr>
        <w:pStyle w:val="Przypisdolny"/>
        <w:ind w:left="142" w:hanging="142"/>
        <w:rPr/>
      </w:pPr>
      <w:r>
        <w:rPr>
          <w:rStyle w:val="Znakiprzypiswdolnych"/>
        </w:rPr>
        <w:footnoteRef/>
      </w:r>
      <w:r>
        <w:rPr>
          <w:sz w:val="18"/>
          <w:szCs w:val="18"/>
        </w:rPr>
        <w:tab/>
        <w:t xml:space="preserve"> </w:t>
      </w:r>
      <w:r>
        <w:rPr>
          <w:sz w:val="18"/>
          <w:szCs w:val="18"/>
        </w:rPr>
        <w:t>W tym polu należy podać informację, jeśli projekt został usunięty lub wprowadzony do strategii w wyniku zmiany strategii</w:t>
      </w:r>
      <w:r>
        <w:rPr/>
        <w:t>.</w:t>
      </w:r>
    </w:p>
  </w:footnote>
  <w:footnote w:id="53">
    <w:p>
      <w:pPr>
        <w:pStyle w:val="Przypisdolny"/>
        <w:ind w:left="142" w:hanging="142"/>
        <w:rPr/>
      </w:pPr>
      <w:r>
        <w:rPr>
          <w:rStyle w:val="Znakiprzypiswdolnych"/>
        </w:rPr>
        <w:footnoteRef/>
      </w:r>
      <w:r>
        <w:rPr>
          <w:sz w:val="18"/>
          <w:szCs w:val="18"/>
        </w:rPr>
        <w:tab/>
        <w:t xml:space="preserve"> </w:t>
      </w:r>
      <w:r>
        <w:rPr>
          <w:sz w:val="18"/>
          <w:szCs w:val="18"/>
        </w:rPr>
        <w:t>Ta część tabeli jest wypełniana, jeśli w zakresie realizacji poszczególnych wskaźników miały miejsce szczególne uwarunkowania, wpływające na nietypowy przebieg realizacji projektów, a więc narastania wartości wskaźników (np. nastąpiła zmiana strategii polegająca na usunięciu lub dodaniu projektów, co wpływa na wartość docelową danego wskaźnika), lub są to informacje istotne dla zrozumienia procesu realizacji strategii; w tym miejscu należy także podać informacje, jeśli wszystkie projekty składające się na dany wskaźnik zostały zrealizowane i wskaźnik nie będzie już w przyszłości podlegał zmianom; w tym miejscu należy także podać informacje, jeśli projekty składające się na dany wskaźnik nie zostały zrealizowane w całości, a więc wskaźnik docelowy dla strategii także nie zostanie zrealizowany w pierwotnie planowanej skali</w:t>
      </w:r>
      <w:r>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98" wp14:anchorId="4E2FBC7C">
              <wp:simplePos x="0" y="0"/>
              <wp:positionH relativeFrom="page">
                <wp:align>right</wp:align>
              </wp:positionH>
              <wp:positionV relativeFrom="paragraph">
                <wp:posOffset>-284480</wp:posOffset>
              </wp:positionV>
              <wp:extent cx="15125700" cy="733425"/>
              <wp:effectExtent l="12700" t="13335" r="12700" b="12065"/>
              <wp:wrapNone/>
              <wp:docPr id="44" name="Prostokąt 6"/>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6" path="m0,0l-2147483645,0l-2147483645,-2147483646l0,-2147483646xe" fillcolor="#d9d9d9" stroked="t" o:allowincell="f" style="position:absolute;margin-left:-597.2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267" wp14:anchorId="185EB8CA">
              <wp:simplePos x="0" y="0"/>
              <wp:positionH relativeFrom="margin">
                <wp:align>left</wp:align>
              </wp:positionH>
              <wp:positionV relativeFrom="paragraph">
                <wp:posOffset>-179705</wp:posOffset>
              </wp:positionV>
              <wp:extent cx="5838825" cy="638175"/>
              <wp:effectExtent l="0" t="0" r="0" b="0"/>
              <wp:wrapNone/>
              <wp:docPr id="45" name="Pole tekstowe 6"/>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6"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526" wp14:anchorId="4E2FBC7C">
              <wp:simplePos x="0" y="0"/>
              <wp:positionH relativeFrom="page">
                <wp:align>right</wp:align>
              </wp:positionH>
              <wp:positionV relativeFrom="paragraph">
                <wp:posOffset>-284480</wp:posOffset>
              </wp:positionV>
              <wp:extent cx="15125700" cy="733425"/>
              <wp:effectExtent l="12700" t="13335" r="12700" b="12065"/>
              <wp:wrapNone/>
              <wp:docPr id="59" name="Prostokąt 5"/>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5" path="m0,0l-2147483645,0l-2147483645,-2147483646l0,-2147483646xe" fillcolor="#d9d9d9" stroked="t" o:allowincell="f" style="position:absolute;margin-left:-597.2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527" wp14:anchorId="185EB8CA">
              <wp:simplePos x="0" y="0"/>
              <wp:positionH relativeFrom="margin">
                <wp:align>left</wp:align>
              </wp:positionH>
              <wp:positionV relativeFrom="paragraph">
                <wp:posOffset>-179705</wp:posOffset>
              </wp:positionV>
              <wp:extent cx="5838825" cy="638175"/>
              <wp:effectExtent l="0" t="0" r="0" b="0"/>
              <wp:wrapNone/>
              <wp:docPr id="60" name="Pole tekstowe 7"/>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7"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530" wp14:anchorId="4E2FBC7C">
              <wp:simplePos x="0" y="0"/>
              <wp:positionH relativeFrom="page">
                <wp:align>right</wp:align>
              </wp:positionH>
              <wp:positionV relativeFrom="paragraph">
                <wp:posOffset>-284480</wp:posOffset>
              </wp:positionV>
              <wp:extent cx="15125700" cy="733425"/>
              <wp:effectExtent l="12700" t="13335" r="12700" b="12065"/>
              <wp:wrapNone/>
              <wp:docPr id="62" name="Prostokąt 7"/>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7" path="m0,0l-2147483645,0l-2147483645,-2147483646l0,-2147483646xe" fillcolor="#d9d9d9" stroked="t" o:allowincell="f" style="position:absolute;margin-left:-350.6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533" wp14:anchorId="185EB8CA">
              <wp:simplePos x="0" y="0"/>
              <wp:positionH relativeFrom="margin">
                <wp:align>left</wp:align>
              </wp:positionH>
              <wp:positionV relativeFrom="paragraph">
                <wp:posOffset>-179705</wp:posOffset>
              </wp:positionV>
              <wp:extent cx="5838825" cy="638175"/>
              <wp:effectExtent l="0" t="0" r="0" b="0"/>
              <wp:wrapNone/>
              <wp:docPr id="63" name="Pole tekstowe 8"/>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8"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535" wp14:anchorId="4E2FBC7C">
              <wp:simplePos x="0" y="0"/>
              <wp:positionH relativeFrom="page">
                <wp:align>right</wp:align>
              </wp:positionH>
              <wp:positionV relativeFrom="paragraph">
                <wp:posOffset>-284480</wp:posOffset>
              </wp:positionV>
              <wp:extent cx="15125700" cy="733425"/>
              <wp:effectExtent l="12700" t="13335" r="12700" b="12065"/>
              <wp:wrapNone/>
              <wp:docPr id="65" name="Prostokąt 8"/>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8" path="m0,0l-2147483645,0l-2147483645,-2147483646l0,-2147483646xe" fillcolor="#d9d9d9" stroked="t" o:allowincell="f" style="position:absolute;margin-left:-597.2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536" wp14:anchorId="185EB8CA">
              <wp:simplePos x="0" y="0"/>
              <wp:positionH relativeFrom="margin">
                <wp:align>left</wp:align>
              </wp:positionH>
              <wp:positionV relativeFrom="paragraph">
                <wp:posOffset>-179705</wp:posOffset>
              </wp:positionV>
              <wp:extent cx="5838825" cy="638175"/>
              <wp:effectExtent l="0" t="0" r="0" b="0"/>
              <wp:wrapNone/>
              <wp:docPr id="66" name="Pole tekstowe 9"/>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9"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552" wp14:anchorId="4E2FBC7C">
              <wp:simplePos x="0" y="0"/>
              <wp:positionH relativeFrom="page">
                <wp:align>right</wp:align>
              </wp:positionH>
              <wp:positionV relativeFrom="paragraph">
                <wp:posOffset>-284480</wp:posOffset>
              </wp:positionV>
              <wp:extent cx="15125700" cy="733425"/>
              <wp:effectExtent l="12700" t="13335" r="12700" b="12065"/>
              <wp:wrapNone/>
              <wp:docPr id="68" name="Prostokąt 9"/>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9" path="m0,0l-2147483645,0l-2147483645,-2147483646l0,-2147483646xe" fillcolor="#d9d9d9" stroked="t" o:allowincell="f" style="position:absolute;margin-left:-350.6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579" wp14:anchorId="185EB8CA">
              <wp:simplePos x="0" y="0"/>
              <wp:positionH relativeFrom="margin">
                <wp:align>left</wp:align>
              </wp:positionH>
              <wp:positionV relativeFrom="paragraph">
                <wp:posOffset>-179705</wp:posOffset>
              </wp:positionV>
              <wp:extent cx="5838825" cy="638175"/>
              <wp:effectExtent l="0" t="0" r="0" b="0"/>
              <wp:wrapNone/>
              <wp:docPr id="69" name="Pole tekstowe 10"/>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10"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599" wp14:anchorId="4E2FBC7C">
              <wp:simplePos x="0" y="0"/>
              <wp:positionH relativeFrom="page">
                <wp:align>right</wp:align>
              </wp:positionH>
              <wp:positionV relativeFrom="paragraph">
                <wp:posOffset>-284480</wp:posOffset>
              </wp:positionV>
              <wp:extent cx="15125700" cy="733425"/>
              <wp:effectExtent l="12700" t="13335" r="12700" b="12065"/>
              <wp:wrapNone/>
              <wp:docPr id="71" name="Prostokąt 10"/>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10" path="m0,0l-2147483645,0l-2147483645,-2147483646l0,-2147483646xe" fillcolor="#d9d9d9" stroked="t" o:allowincell="f" style="position:absolute;margin-left:-597.2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632" wp14:anchorId="185EB8CA">
              <wp:simplePos x="0" y="0"/>
              <wp:positionH relativeFrom="margin">
                <wp:align>left</wp:align>
              </wp:positionH>
              <wp:positionV relativeFrom="paragraph">
                <wp:posOffset>-179705</wp:posOffset>
              </wp:positionV>
              <wp:extent cx="5838825" cy="638175"/>
              <wp:effectExtent l="0" t="0" r="0" b="0"/>
              <wp:wrapNone/>
              <wp:docPr id="72" name="Pole tekstowe 11"/>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11"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w:r>
  </w:p>
  <w:p>
    <w:pPr>
      <w:pStyle w:val="Normal"/>
      <w:spacing w:before="0" w:after="0"/>
      <w:rPr>
        <w:rFonts w:cs="Calibri" w:cstheme="minorHAnsi"/>
        <w:color w:val="10328F"/>
        <w:sz w:val="24"/>
        <w:szCs w:val="24"/>
      </w:rPr>
    </w:pPr>
    <w:r>
      <w:rPr>
        <w:rFonts w:cs="Calibri" w:cstheme="minorHAnsi"/>
        <w:color w:val="10328F"/>
        <w:sz w:val="24"/>
        <w:szCs w:val="24"/>
      </w:rPr>
    </w:r>
  </w:p>
  <w:p>
    <w:pPr>
      <w:pStyle w:val="Gwk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320" wp14:anchorId="4E2FBC7C">
              <wp:simplePos x="0" y="0"/>
              <wp:positionH relativeFrom="page">
                <wp:align>right</wp:align>
              </wp:positionH>
              <wp:positionV relativeFrom="paragraph">
                <wp:posOffset>-284480</wp:posOffset>
              </wp:positionV>
              <wp:extent cx="15125700" cy="733425"/>
              <wp:effectExtent l="12700" t="13335" r="12700" b="12065"/>
              <wp:wrapNone/>
              <wp:docPr id="47" name="Prostokąt 1"/>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1" path="m0,0l-2147483645,0l-2147483645,-2147483646l0,-2147483646xe" fillcolor="#d9d9d9" stroked="t" o:allowincell="f" style="position:absolute;margin-left:-597.2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386" wp14:anchorId="185EB8CA">
              <wp:simplePos x="0" y="0"/>
              <wp:positionH relativeFrom="margin">
                <wp:align>left</wp:align>
              </wp:positionH>
              <wp:positionV relativeFrom="paragraph">
                <wp:posOffset>-179705</wp:posOffset>
              </wp:positionV>
              <wp:extent cx="5838825" cy="638175"/>
              <wp:effectExtent l="0" t="0" r="0" b="0"/>
              <wp:wrapNone/>
              <wp:docPr id="48" name="Pole tekstowe 2"/>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2"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w:r>
  </w:p>
  <w:p>
    <w:pPr>
      <w:pStyle w:val="Normal"/>
      <w:spacing w:before="0" w:after="0"/>
      <w:rPr>
        <w:rFonts w:cs="Calibri" w:cstheme="minorHAnsi"/>
        <w:color w:val="10328F"/>
        <w:sz w:val="24"/>
        <w:szCs w:val="24"/>
      </w:rPr>
    </w:pPr>
    <w:r>
      <w:rPr>
        <w:rFonts w:cs="Calibri" w:cstheme="minorHAnsi"/>
        <w:color w:val="10328F"/>
        <w:sz w:val="24"/>
        <w:szCs w:val="24"/>
      </w:rPr>
    </w:r>
  </w:p>
  <w:p>
    <w:pPr>
      <w:pStyle w:val="Gwka"/>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420" wp14:anchorId="4E2FBC7C">
              <wp:simplePos x="0" y="0"/>
              <wp:positionH relativeFrom="page">
                <wp:align>right</wp:align>
              </wp:positionH>
              <wp:positionV relativeFrom="paragraph">
                <wp:posOffset>-284480</wp:posOffset>
              </wp:positionV>
              <wp:extent cx="15125700" cy="733425"/>
              <wp:effectExtent l="12700" t="13335" r="12700" b="12065"/>
              <wp:wrapNone/>
              <wp:docPr id="50" name="Prostokąt 2"/>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2" path="m0,0l-2147483645,0l-2147483645,-2147483646l0,-2147483646xe" fillcolor="#d9d9d9" stroked="t" o:allowincell="f" style="position:absolute;margin-left:-2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485" wp14:anchorId="185EB8CA">
              <wp:simplePos x="0" y="0"/>
              <wp:positionH relativeFrom="margin">
                <wp:align>left</wp:align>
              </wp:positionH>
              <wp:positionV relativeFrom="paragraph">
                <wp:posOffset>-179705</wp:posOffset>
              </wp:positionV>
              <wp:extent cx="5838825" cy="638175"/>
              <wp:effectExtent l="0" t="0" r="0" b="0"/>
              <wp:wrapNone/>
              <wp:docPr id="51" name="Pole tekstowe 3"/>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3"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496" wp14:anchorId="4E2FBC7C">
              <wp:simplePos x="0" y="0"/>
              <wp:positionH relativeFrom="page">
                <wp:align>right</wp:align>
              </wp:positionH>
              <wp:positionV relativeFrom="paragraph">
                <wp:posOffset>-284480</wp:posOffset>
              </wp:positionV>
              <wp:extent cx="15125700" cy="733425"/>
              <wp:effectExtent l="12700" t="13335" r="12700" b="12065"/>
              <wp:wrapNone/>
              <wp:docPr id="53" name="Prostokąt 3"/>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3" path="m0,0l-2147483645,0l-2147483645,-2147483646l0,-2147483646xe" fillcolor="#d9d9d9" stroked="t" o:allowincell="f" style="position:absolute;margin-left:-597.25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515" wp14:anchorId="185EB8CA">
              <wp:simplePos x="0" y="0"/>
              <wp:positionH relativeFrom="margin">
                <wp:align>left</wp:align>
              </wp:positionH>
              <wp:positionV relativeFrom="paragraph">
                <wp:posOffset>-179705</wp:posOffset>
              </wp:positionV>
              <wp:extent cx="5838825" cy="638175"/>
              <wp:effectExtent l="0" t="0" r="0" b="0"/>
              <wp:wrapNone/>
              <wp:docPr id="54" name="Pole tekstowe 4"/>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4"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spacing w:lineRule="exact" w:line="280" w:before="0" w:after="120"/>
      <w:rPr>
        <w:b/>
        <w:color w:val="auto"/>
      </w:rPr>
    </w:pPr>
    <w:r>
      <w:rPr>
        <w:b/>
        <w:color w:val="auto"/>
      </w:rPr>
    </w:r>
  </w:p>
  <w:p>
    <w:pPr>
      <w:pStyle w:val="Gwka"/>
      <w:spacing w:lineRule="exact" w:line="280" w:before="0" w:after="120"/>
      <w:rPr>
        <w:b/>
        <w:color w:val="auto"/>
      </w:rPr>
    </w:pPr>
    <w:r>
      <w:rPr>
        <w:b/>
        <w:color w:val="auto"/>
      </w:rPr>
      <mc:AlternateContent>
        <mc:Choice Requires="wps">
          <w:drawing>
            <wp:anchor behindDoc="1" distT="0" distB="28575" distL="0" distR="19050" simplePos="0" locked="0" layoutInCell="0" allowOverlap="1" relativeHeight="519" wp14:anchorId="4E2FBC7C">
              <wp:simplePos x="0" y="0"/>
              <wp:positionH relativeFrom="page">
                <wp:align>right</wp:align>
              </wp:positionH>
              <wp:positionV relativeFrom="paragraph">
                <wp:posOffset>-284480</wp:posOffset>
              </wp:positionV>
              <wp:extent cx="15125700" cy="733425"/>
              <wp:effectExtent l="12700" t="13335" r="12700" b="12065"/>
              <wp:wrapNone/>
              <wp:docPr id="56" name="Prostokąt 4"/>
              <a:graphic xmlns:a="http://schemas.openxmlformats.org/drawingml/2006/main">
                <a:graphicData uri="http://schemas.microsoft.com/office/word/2010/wordprocessingShape">
                  <wps:wsp>
                    <wps:cNvSpPr/>
                    <wps:spPr>
                      <a:xfrm>
                        <a:off x="0" y="0"/>
                        <a:ext cx="15125760" cy="733320"/>
                      </a:xfrm>
                      <a:prstGeom prst="rect">
                        <a:avLst/>
                      </a:prstGeom>
                      <a:solidFill>
                        <a:schemeClr val="bg1">
                          <a:lumMod val="85000"/>
                        </a:schemeClr>
                      </a:solidFill>
                      <a:ln>
                        <a:solidFill>
                          <a:srgbClr val="ffffff">
                            <a:lumMod val="9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4" path="m0,0l-2147483645,0l-2147483645,-2147483646l0,-2147483646xe" fillcolor="#d9d9d9" stroked="t" o:allowincell="f" style="position:absolute;margin-left:-2pt;margin-top:-22.4pt;width:1190.95pt;height:57.7pt;mso-wrap-style:none;v-text-anchor:middle;mso-position-horizontal:right;mso-position-horizontal-relative:page" wp14:anchorId="4E2FBC7C">
              <v:fill o:detectmouseclick="t" type="solid" color2="#262626"/>
              <v:stroke color="#f2f2f2" weight="25560" joinstyle="round" endcap="flat"/>
              <w10:wrap type="none"/>
            </v:rect>
          </w:pict>
        </mc:Fallback>
      </mc:AlternateContent>
      <mc:AlternateContent>
        <mc:Choice Requires="wps">
          <w:drawing>
            <wp:anchor behindDoc="1" distT="0" distB="0" distL="0" distR="0" simplePos="0" locked="0" layoutInCell="0" allowOverlap="1" relativeHeight="524" wp14:anchorId="185EB8CA">
              <wp:simplePos x="0" y="0"/>
              <wp:positionH relativeFrom="margin">
                <wp:align>left</wp:align>
              </wp:positionH>
              <wp:positionV relativeFrom="paragraph">
                <wp:posOffset>-179705</wp:posOffset>
              </wp:positionV>
              <wp:extent cx="5838825" cy="638175"/>
              <wp:effectExtent l="0" t="0" r="0" b="0"/>
              <wp:wrapNone/>
              <wp:docPr id="57" name="Pole tekstowe 5"/>
              <a:graphic xmlns:a="http://schemas.openxmlformats.org/drawingml/2006/main">
                <a:graphicData uri="http://schemas.microsoft.com/office/word/2010/wordprocessingShape">
                  <wps:wsp>
                    <wps:cNvSpPr/>
                    <wps:spPr>
                      <a:xfrm>
                        <a:off x="0" y="0"/>
                        <a:ext cx="5838840" cy="638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wps:txbx>
                    <wps:bodyPr anchor="ctr">
                      <a:prstTxWarp prst="textNoShape"/>
                      <a:noAutofit/>
                    </wps:bodyPr>
                  </wps:wsp>
                </a:graphicData>
              </a:graphic>
            </wp:anchor>
          </w:drawing>
        </mc:Choice>
        <mc:Fallback>
          <w:pict>
            <v:rect id="shape_0" ID="Pole tekstowe 5" path="m0,0l-2147483645,0l-2147483645,-2147483646l0,-2147483646xe" stroked="f" o:allowincell="f" style="position:absolute;margin-left:0pt;margin-top:-14.15pt;width:459.7pt;height:50.2pt;mso-wrap-style:square;v-text-anchor:middle;mso-position-horizontal:left;mso-position-horizontal-relative:margin" wp14:anchorId="185EB8CA">
              <v:fill o:detectmouseclick="t" on="false"/>
              <v:stroke color="#3465a4" weight="6480" joinstyle="round" endcap="flat"/>
              <v:textbox>
                <w:txbxContent>
                  <w:p>
                    <w:pPr>
                      <w:pStyle w:val="Zawartoramki"/>
                      <w:spacing w:before="0" w:after="0"/>
                      <w:rPr>
                        <w:rFonts w:cs="Calibri" w:cstheme="minorHAnsi"/>
                        <w:color w:val="10328F"/>
                        <w:sz w:val="24"/>
                        <w:szCs w:val="24"/>
                      </w:rPr>
                    </w:pPr>
                    <w:r>
                      <w:rPr>
                        <w:rFonts w:cs="Calibri" w:cstheme="minorHAnsi"/>
                        <w:b/>
                        <w:color w:val="10328F"/>
                        <w:sz w:val="24"/>
                        <w:szCs w:val="24"/>
                      </w:rPr>
                      <w:t>Strategia Terytorialna MOF Włocławka</w:t>
                    </w:r>
                  </w:p>
                  <w:p>
                    <w:pPr>
                      <w:pStyle w:val="Zawartoramki"/>
                      <w:spacing w:before="0" w:after="0"/>
                      <w:rPr>
                        <w:rFonts w:cs="Calibri" w:cstheme="minorHAnsi"/>
                        <w:color w:val="10328F"/>
                        <w:sz w:val="24"/>
                        <w:szCs w:val="24"/>
                      </w:rPr>
                    </w:pPr>
                    <w:r>
                      <w:rPr>
                        <w:rFonts w:cs="Calibri" w:cstheme="minorHAnsi"/>
                        <w:color w:val="10328F"/>
                        <w:sz w:val="24"/>
                        <w:szCs w:val="24"/>
                      </w:rPr>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5039" w:hanging="360"/>
      </w:pPr>
      <w:rPr>
        <w:rFonts w:ascii="Symbol" w:hAnsi="Symbol" w:cs="Symbol" w:hint="default"/>
      </w:rPr>
    </w:lvl>
    <w:lvl w:ilvl="1">
      <w:start w:val="1"/>
      <w:numFmt w:val="bullet"/>
      <w:lvlText w:val="o"/>
      <w:lvlJc w:val="left"/>
      <w:pPr>
        <w:tabs>
          <w:tab w:val="num" w:pos="0"/>
        </w:tabs>
        <w:ind w:left="5759" w:hanging="360"/>
      </w:pPr>
      <w:rPr>
        <w:rFonts w:ascii="Courier New" w:hAnsi="Courier New" w:cs="Courier New" w:hint="default"/>
      </w:rPr>
    </w:lvl>
    <w:lvl w:ilvl="2">
      <w:start w:val="1"/>
      <w:numFmt w:val="bullet"/>
      <w:lvlText w:val=""/>
      <w:lvlJc w:val="left"/>
      <w:pPr>
        <w:tabs>
          <w:tab w:val="num" w:pos="0"/>
        </w:tabs>
        <w:ind w:left="6479" w:hanging="360"/>
      </w:pPr>
      <w:rPr>
        <w:rFonts w:ascii="Wingdings" w:hAnsi="Wingdings" w:cs="Wingdings" w:hint="default"/>
      </w:rPr>
    </w:lvl>
    <w:lvl w:ilvl="3">
      <w:start w:val="1"/>
      <w:numFmt w:val="bullet"/>
      <w:lvlText w:val=""/>
      <w:lvlJc w:val="left"/>
      <w:pPr>
        <w:tabs>
          <w:tab w:val="num" w:pos="0"/>
        </w:tabs>
        <w:ind w:left="7199" w:hanging="360"/>
      </w:pPr>
      <w:rPr>
        <w:rFonts w:ascii="Symbol" w:hAnsi="Symbol" w:cs="Symbol" w:hint="default"/>
      </w:rPr>
    </w:lvl>
    <w:lvl w:ilvl="4">
      <w:start w:val="1"/>
      <w:numFmt w:val="bullet"/>
      <w:lvlText w:val="o"/>
      <w:lvlJc w:val="left"/>
      <w:pPr>
        <w:tabs>
          <w:tab w:val="num" w:pos="0"/>
        </w:tabs>
        <w:ind w:left="7919" w:hanging="360"/>
      </w:pPr>
      <w:rPr>
        <w:rFonts w:ascii="Courier New" w:hAnsi="Courier New" w:cs="Courier New" w:hint="default"/>
      </w:rPr>
    </w:lvl>
    <w:lvl w:ilvl="5">
      <w:start w:val="1"/>
      <w:numFmt w:val="bullet"/>
      <w:lvlText w:val=""/>
      <w:lvlJc w:val="left"/>
      <w:pPr>
        <w:tabs>
          <w:tab w:val="num" w:pos="0"/>
        </w:tabs>
        <w:ind w:left="8639" w:hanging="360"/>
      </w:pPr>
      <w:rPr>
        <w:rFonts w:ascii="Wingdings" w:hAnsi="Wingdings" w:cs="Wingdings" w:hint="default"/>
      </w:rPr>
    </w:lvl>
    <w:lvl w:ilvl="6">
      <w:start w:val="1"/>
      <w:numFmt w:val="bullet"/>
      <w:lvlText w:val=""/>
      <w:lvlJc w:val="left"/>
      <w:pPr>
        <w:tabs>
          <w:tab w:val="num" w:pos="0"/>
        </w:tabs>
        <w:ind w:left="9359" w:hanging="360"/>
      </w:pPr>
      <w:rPr>
        <w:rFonts w:ascii="Symbol" w:hAnsi="Symbol" w:cs="Symbol" w:hint="default"/>
      </w:rPr>
    </w:lvl>
    <w:lvl w:ilvl="7">
      <w:start w:val="1"/>
      <w:numFmt w:val="bullet"/>
      <w:lvlText w:val="o"/>
      <w:lvlJc w:val="left"/>
      <w:pPr>
        <w:tabs>
          <w:tab w:val="num" w:pos="0"/>
        </w:tabs>
        <w:ind w:left="10079" w:hanging="360"/>
      </w:pPr>
      <w:rPr>
        <w:rFonts w:ascii="Courier New" w:hAnsi="Courier New" w:cs="Courier New" w:hint="default"/>
      </w:rPr>
    </w:lvl>
    <w:lvl w:ilvl="8">
      <w:start w:val="1"/>
      <w:numFmt w:val="bullet"/>
      <w:lvlText w:val=""/>
      <w:lvlJc w:val="left"/>
      <w:pPr>
        <w:tabs>
          <w:tab w:val="num" w:pos="0"/>
        </w:tabs>
        <w:ind w:left="10799" w:hanging="360"/>
      </w:pPr>
      <w:rPr>
        <w:rFonts w:ascii="Wingdings" w:hAnsi="Wingdings" w:cs="Wingdings" w:hint="default"/>
      </w:rPr>
    </w:lvl>
  </w:abstractNum>
  <w:abstractNum w:abstractNumId="5">
    <w:lvl w:ilvl="0">
      <w:start w:val="2"/>
      <w:numFmt w:val="decimal"/>
      <w:lvlText w:val="%1."/>
      <w:lvlJc w:val="left"/>
      <w:pPr>
        <w:tabs>
          <w:tab w:val="num" w:pos="0"/>
        </w:tabs>
        <w:ind w:left="643" w:hanging="360"/>
      </w:pPr>
      <w:rPr/>
    </w:lvl>
    <w:lvl w:ilvl="1">
      <w:start w:val="1"/>
      <w:numFmt w:val="decimal"/>
      <w:lvlText w:val="%1.%2."/>
      <w:lvlJc w:val="left"/>
      <w:pPr>
        <w:tabs>
          <w:tab w:val="num" w:pos="0"/>
        </w:tabs>
        <w:ind w:left="574" w:hanging="432"/>
      </w:pPr>
      <w:rPr>
        <w:color w:val="1F497D" w:themeColor="text2"/>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6">
    <w:lvl w:ilvl="0">
      <w:start w:val="1"/>
      <w:numFmt w:val="decimal"/>
      <w:lvlText w:val="%1."/>
      <w:lvlJc w:val="left"/>
      <w:pPr>
        <w:tabs>
          <w:tab w:val="num" w:pos="0"/>
        </w:tabs>
        <w:ind w:left="0" w:hanging="0"/>
      </w:pPr>
      <w:rPr>
        <w:smallCaps w:val="false"/>
        <w:caps w:val="false"/>
        <w:dstrike w:val="false"/>
        <w:strike w:val="false"/>
        <w:vertAlign w:val="baseline"/>
        <w:position w:val="0"/>
        <w:sz w:val="22"/>
        <w:spacing w:val="0"/>
        <w:i w:val="false"/>
        <w:u w:val="none"/>
        <w:b/>
        <w:kern w:val="0"/>
        <w:effect w:val="none"/>
        <w:iCs w:val="false"/>
        <w:bCs w:val="false"/>
        <w:em w:val="none"/>
        <w:vanish w:val="false"/>
        <w:color w:val="10328F"/>
        <w14:shadow w14:blurRad="0" w14:dist="0" w14:dir="0" w14:sx="0" w14:sy="0" w14:kx="0" w14:ky="0" w14:algn="none">
          <w14:srgbClr w14:val="000000"/>
        </w14:shadow>
        <w14:textOutline w14:w="0" w14:cap="rnd" w14:cmpd="sng" w14:algn="ctr">
          <w14:noFill/>
          <w14:prstDash w14:val="solid"/>
          <w14:bevel/>
        </w14:textOutline>
      </w:rPr>
    </w:lvl>
    <w:lvl w:ilvl="1">
      <w:start w:val="16"/>
      <w:numFmt w:val="decimal"/>
      <w:lvlText w:val="%1.%2"/>
      <w:lvlJc w:val="left"/>
      <w:pPr>
        <w:tabs>
          <w:tab w:val="num" w:pos="0"/>
        </w:tabs>
        <w:ind w:left="1358" w:hanging="750"/>
      </w:pPr>
      <w:rPr/>
    </w:lvl>
    <w:lvl w:ilvl="2">
      <w:start w:val="1"/>
      <w:numFmt w:val="decimal"/>
      <w:lvlText w:val="%1.%2.%3"/>
      <w:lvlJc w:val="left"/>
      <w:pPr>
        <w:tabs>
          <w:tab w:val="num" w:pos="0"/>
        </w:tabs>
        <w:ind w:left="1541" w:hanging="750"/>
      </w:pPr>
      <w:rPr/>
    </w:lvl>
    <w:lvl w:ilvl="3">
      <w:start w:val="1"/>
      <w:numFmt w:val="decimal"/>
      <w:lvlText w:val="%1.%2.%3.%4"/>
      <w:lvlJc w:val="left"/>
      <w:pPr>
        <w:tabs>
          <w:tab w:val="num" w:pos="0"/>
        </w:tabs>
        <w:ind w:left="2054" w:hanging="1080"/>
      </w:pPr>
      <w:rPr/>
    </w:lvl>
    <w:lvl w:ilvl="4">
      <w:start w:val="1"/>
      <w:numFmt w:val="decimal"/>
      <w:lvlText w:val="%1.%2.%3.%4.%5"/>
      <w:lvlJc w:val="left"/>
      <w:pPr>
        <w:tabs>
          <w:tab w:val="num" w:pos="0"/>
        </w:tabs>
        <w:ind w:left="2237" w:hanging="1080"/>
      </w:pPr>
      <w:rPr/>
    </w:lvl>
    <w:lvl w:ilvl="5">
      <w:start w:val="1"/>
      <w:numFmt w:val="decimal"/>
      <w:lvlText w:val="%1.%2.%3.%4.%5.%6"/>
      <w:lvlJc w:val="left"/>
      <w:pPr>
        <w:tabs>
          <w:tab w:val="num" w:pos="0"/>
        </w:tabs>
        <w:ind w:left="2780" w:hanging="1440"/>
      </w:pPr>
      <w:rPr/>
    </w:lvl>
    <w:lvl w:ilvl="6">
      <w:start w:val="1"/>
      <w:numFmt w:val="decimal"/>
      <w:lvlText w:val="%1.%2.%3.%4.%5.%6.%7"/>
      <w:lvlJc w:val="left"/>
      <w:pPr>
        <w:tabs>
          <w:tab w:val="num" w:pos="0"/>
        </w:tabs>
        <w:ind w:left="3323" w:hanging="1800"/>
      </w:pPr>
      <w:rPr/>
    </w:lvl>
    <w:lvl w:ilvl="7">
      <w:start w:val="1"/>
      <w:numFmt w:val="decimal"/>
      <w:lvlText w:val="%1.%2.%3.%4.%5.%6.%7.%8"/>
      <w:lvlJc w:val="left"/>
      <w:pPr>
        <w:tabs>
          <w:tab w:val="num" w:pos="0"/>
        </w:tabs>
        <w:ind w:left="3506" w:hanging="1800"/>
      </w:pPr>
      <w:rPr/>
    </w:lvl>
    <w:lvl w:ilvl="8">
      <w:start w:val="1"/>
      <w:numFmt w:val="decimal"/>
      <w:lvlText w:val="%1.%2.%3.%4.%5.%6.%7.%8.%9"/>
      <w:lvlJc w:val="left"/>
      <w:pPr>
        <w:tabs>
          <w:tab w:val="num" w:pos="0"/>
        </w:tabs>
        <w:ind w:left="4049" w:hanging="2160"/>
      </w:pPr>
      <w:rPr/>
    </w:lvl>
  </w:abstractNum>
  <w:abstractNum w:abstractNumId="7">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9">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720" w:hanging="360"/>
      </w:pPr>
      <w:rPr>
        <w:rFonts w:cs="Times New Roman"/>
      </w:rPr>
    </w:lvl>
    <w:lvl w:ilvl="2">
      <w:start w:val="1"/>
      <w:numFmt w:val="lowerLetter"/>
      <w:lvlText w:val="%3)"/>
      <w:lvlJc w:val="left"/>
      <w:pPr>
        <w:tabs>
          <w:tab w:val="num" w:pos="0"/>
        </w:tabs>
        <w:ind w:left="1080" w:hanging="360"/>
      </w:pPr>
      <w:rPr>
        <w:rFonts w:cs="Times New Roman"/>
      </w:rPr>
    </w:lvl>
    <w:lvl w:ilvl="3">
      <w:start w:val="1"/>
      <w:numFmt w:val="decimal"/>
      <w:lvlText w:val="(%4)"/>
      <w:lvlJc w:val="left"/>
      <w:pPr>
        <w:tabs>
          <w:tab w:val="num" w:pos="0"/>
        </w:tabs>
        <w:ind w:left="1440" w:hanging="360"/>
      </w:pPr>
      <w:rPr>
        <w:rFonts w:cs="Times New Roman"/>
      </w:rPr>
    </w:lvl>
    <w:lvl w:ilvl="4">
      <w:start w:val="1"/>
      <w:numFmt w:val="lowerLetter"/>
      <w:lvlText w:val="(%5)"/>
      <w:lvlJc w:val="left"/>
      <w:pPr>
        <w:tabs>
          <w:tab w:val="num" w:pos="0"/>
        </w:tabs>
        <w:ind w:left="1800" w:hanging="360"/>
      </w:pPr>
      <w:rPr>
        <w:rFonts w:cs="Times New Roman"/>
      </w:rPr>
    </w:lvl>
    <w:lvl w:ilvl="5">
      <w:start w:val="1"/>
      <w:numFmt w:val="lowerRoman"/>
      <w:lvlText w:val="(%6)"/>
      <w:lvlJc w:val="left"/>
      <w:pPr>
        <w:tabs>
          <w:tab w:val="num" w:pos="0"/>
        </w:tabs>
        <w:ind w:left="2160" w:hanging="360"/>
      </w:pPr>
      <w:rPr>
        <w:rFonts w:cs="Times New Roman"/>
      </w:rPr>
    </w:lvl>
    <w:lvl w:ilvl="6">
      <w:start w:val="1"/>
      <w:numFmt w:val="decimal"/>
      <w:lvlText w:val="%7."/>
      <w:lvlJc w:val="left"/>
      <w:pPr>
        <w:tabs>
          <w:tab w:val="num" w:pos="0"/>
        </w:tabs>
        <w:ind w:left="2520" w:hanging="360"/>
      </w:pPr>
      <w:rPr>
        <w:rFonts w:cs="Times New Roman"/>
      </w:rPr>
    </w:lvl>
    <w:lvl w:ilvl="7">
      <w:start w:val="1"/>
      <w:numFmt w:val="lowerLetter"/>
      <w:lvlText w:val="%8."/>
      <w:lvlJc w:val="left"/>
      <w:pPr>
        <w:tabs>
          <w:tab w:val="num" w:pos="0"/>
        </w:tabs>
        <w:ind w:left="2880" w:hanging="360"/>
      </w:pPr>
      <w:rPr>
        <w:rFonts w:cs="Times New Roman"/>
      </w:rPr>
    </w:lvl>
    <w:lvl w:ilvl="8">
      <w:start w:val="1"/>
      <w:numFmt w:val="lowerRoman"/>
      <w:lvlText w:val="%9."/>
      <w:lvlJc w:val="left"/>
      <w:pPr>
        <w:tabs>
          <w:tab w:val="num" w:pos="0"/>
        </w:tabs>
        <w:ind w:left="3240" w:hanging="360"/>
      </w:pPr>
      <w:rPr>
        <w:rFonts w:cs="Times New Roman"/>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2"/>
      <w:numFmt w:val="decimal"/>
      <w:lvlText w:val="%1"/>
      <w:lvlJc w:val="left"/>
      <w:pPr>
        <w:tabs>
          <w:tab w:val="num" w:pos="0"/>
        </w:tabs>
        <w:ind w:left="375" w:hanging="375"/>
      </w:pPr>
      <w:rPr/>
    </w:lvl>
    <w:lvl w:ilvl="1">
      <w:start w:val="1"/>
      <w:numFmt w:val="decimal"/>
      <w:lvlText w:val="%1.%2"/>
      <w:lvlJc w:val="left"/>
      <w:pPr>
        <w:tabs>
          <w:tab w:val="num" w:pos="0"/>
        </w:tabs>
        <w:ind w:left="1004" w:hanging="720"/>
      </w:pPr>
      <w:rPr/>
    </w:lvl>
    <w:lvl w:ilvl="2">
      <w:start w:val="1"/>
      <w:numFmt w:val="decimal"/>
      <w:lvlText w:val="%1.%2.%3"/>
      <w:lvlJc w:val="left"/>
      <w:pPr>
        <w:tabs>
          <w:tab w:val="num" w:pos="0"/>
        </w:tabs>
        <w:ind w:left="1288" w:hanging="720"/>
      </w:pPr>
      <w:rPr/>
    </w:lvl>
    <w:lvl w:ilvl="3">
      <w:start w:val="1"/>
      <w:numFmt w:val="decimal"/>
      <w:lvlText w:val="%1.%2.%3.%4"/>
      <w:lvlJc w:val="left"/>
      <w:pPr>
        <w:tabs>
          <w:tab w:val="num" w:pos="0"/>
        </w:tabs>
        <w:ind w:left="1932" w:hanging="1080"/>
      </w:pPr>
      <w:rPr/>
    </w:lvl>
    <w:lvl w:ilvl="4">
      <w:start w:val="1"/>
      <w:numFmt w:val="decimal"/>
      <w:lvlText w:val="%1.%2.%3.%4.%5"/>
      <w:lvlJc w:val="left"/>
      <w:pPr>
        <w:tabs>
          <w:tab w:val="num" w:pos="0"/>
        </w:tabs>
        <w:ind w:left="2216" w:hanging="1080"/>
      </w:pPr>
      <w:rPr/>
    </w:lvl>
    <w:lvl w:ilvl="5">
      <w:start w:val="1"/>
      <w:numFmt w:val="decimal"/>
      <w:lvlText w:val="%1.%2.%3.%4.%5.%6"/>
      <w:lvlJc w:val="left"/>
      <w:pPr>
        <w:tabs>
          <w:tab w:val="num" w:pos="0"/>
        </w:tabs>
        <w:ind w:left="2860" w:hanging="1440"/>
      </w:pPr>
      <w:rPr/>
    </w:lvl>
    <w:lvl w:ilvl="6">
      <w:start w:val="1"/>
      <w:numFmt w:val="decimal"/>
      <w:lvlText w:val="%1.%2.%3.%4.%5.%6.%7"/>
      <w:lvlJc w:val="left"/>
      <w:pPr>
        <w:tabs>
          <w:tab w:val="num" w:pos="0"/>
        </w:tabs>
        <w:ind w:left="3504" w:hanging="1800"/>
      </w:pPr>
      <w:rPr/>
    </w:lvl>
    <w:lvl w:ilvl="7">
      <w:start w:val="1"/>
      <w:numFmt w:val="decimal"/>
      <w:lvlText w:val="%1.%2.%3.%4.%5.%6.%7.%8"/>
      <w:lvlJc w:val="left"/>
      <w:pPr>
        <w:tabs>
          <w:tab w:val="num" w:pos="0"/>
        </w:tabs>
        <w:ind w:left="3788" w:hanging="1800"/>
      </w:pPr>
      <w:rPr/>
    </w:lvl>
    <w:lvl w:ilvl="8">
      <w:start w:val="1"/>
      <w:numFmt w:val="decimal"/>
      <w:lvlText w:val="%1.%2.%3.%4.%5.%6.%7.%8.%9"/>
      <w:lvlJc w:val="left"/>
      <w:pPr>
        <w:tabs>
          <w:tab w:val="num" w:pos="0"/>
        </w:tabs>
        <w:ind w:left="4432" w:hanging="2160"/>
      </w:pPr>
      <w:rPr/>
    </w:lvl>
  </w:abstractNum>
  <w:abstractNum w:abstractNumId="32">
    <w:lvl w:ilvl="0">
      <w:start w:val="9"/>
      <w:numFmt w:val="decimal"/>
      <w:lvlText w:val="%1"/>
      <w:lvlJc w:val="left"/>
      <w:pPr>
        <w:tabs>
          <w:tab w:val="num" w:pos="0"/>
        </w:tabs>
        <w:ind w:left="375" w:hanging="375"/>
      </w:pPr>
      <w:rPr/>
    </w:lvl>
    <w:lvl w:ilvl="1">
      <w:start w:val="2"/>
      <w:numFmt w:val="decimal"/>
      <w:lvlText w:val="%1.%2"/>
      <w:lvlJc w:val="left"/>
      <w:pPr>
        <w:tabs>
          <w:tab w:val="num" w:pos="0"/>
        </w:tabs>
        <w:ind w:left="1080" w:hanging="720"/>
      </w:pPr>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33">
    <w:lvl w:ilvl="0">
      <w:start w:val="2"/>
      <w:numFmt w:val="decimal"/>
      <w:lvlText w:val="%1."/>
      <w:lvlJc w:val="left"/>
      <w:pPr>
        <w:tabs>
          <w:tab w:val="num" w:pos="0"/>
        </w:tabs>
        <w:ind w:left="643" w:hanging="360"/>
      </w:pPr>
      <w:rPr/>
    </w:lvl>
    <w:lvl w:ilvl="1">
      <w:start w:val="1"/>
      <w:numFmt w:val="decimal"/>
      <w:lvlText w:val="%1.%2."/>
      <w:lvlJc w:val="left"/>
      <w:pPr>
        <w:tabs>
          <w:tab w:val="num" w:pos="0"/>
        </w:tabs>
        <w:ind w:left="574" w:hanging="432"/>
      </w:pPr>
      <w:rPr>
        <w:color w:val="1F497D" w:themeColor="text2"/>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4">
    <w:lvl w:ilvl="0">
      <w:start w:val="2"/>
      <w:numFmt w:val="decimal"/>
      <w:lvlText w:val="%1."/>
      <w:lvlJc w:val="left"/>
      <w:pPr>
        <w:tabs>
          <w:tab w:val="num" w:pos="0"/>
        </w:tabs>
        <w:ind w:left="643" w:hanging="360"/>
      </w:pPr>
      <w:rPr/>
    </w:lvl>
    <w:lvl w:ilvl="1">
      <w:start w:val="1"/>
      <w:numFmt w:val="decimal"/>
      <w:lvlText w:val="%1.%2."/>
      <w:lvlJc w:val="left"/>
      <w:pPr>
        <w:tabs>
          <w:tab w:val="num" w:pos="0"/>
        </w:tabs>
        <w:ind w:left="574" w:hanging="432"/>
      </w:pPr>
      <w:rPr>
        <w:color w:val="1F497D" w:themeColor="text2"/>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5">
    <w:lvl w:ilvl="0">
      <w:start w:val="2"/>
      <w:numFmt w:val="decimal"/>
      <w:lvlText w:val="%1."/>
      <w:lvlJc w:val="left"/>
      <w:pPr>
        <w:tabs>
          <w:tab w:val="num" w:pos="0"/>
        </w:tabs>
        <w:ind w:left="643" w:hanging="360"/>
      </w:pPr>
      <w:rPr/>
    </w:lvl>
    <w:lvl w:ilvl="1">
      <w:start w:val="1"/>
      <w:numFmt w:val="decimal"/>
      <w:lvlText w:val="%1.%2."/>
      <w:lvlJc w:val="left"/>
      <w:pPr>
        <w:tabs>
          <w:tab w:val="num" w:pos="0"/>
        </w:tabs>
        <w:ind w:left="574" w:hanging="432"/>
      </w:pPr>
      <w:rPr>
        <w:color w:val="1F497D" w:themeColor="text2"/>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5"/>
    <w:lvlOverride w:ilvl="0">
      <w:startOverride w:val="3"/>
    </w:lvlOverride>
  </w:num>
  <w:num w:numId="45">
    <w:abstractNumId w:val="5"/>
  </w:num>
  <w:num w:numId="46">
    <w:abstractNumId w:val="5"/>
  </w:num>
  <w:num w:numId="47">
    <w:abstractNumId w:val="5"/>
  </w:num>
  <w:num w:numId="48">
    <w:abstractNumId w:val="5"/>
  </w:num>
  <w:num w:numId="49">
    <w:abstractNumId w:val="5"/>
  </w:num>
  <w:num w:numId="50">
    <w:abstractNumId w:val="5"/>
  </w:num>
  <w:num w:numId="51">
    <w:abstractNumId w:val="5"/>
  </w:num>
  <w:num w:numId="52">
    <w:abstractNumId w:val="5"/>
  </w:num>
  <w:num w:numId="53">
    <w:abstractNumId w:val="5"/>
    <w:lvlOverride w:ilvl="0">
      <w:startOverride w:val="2"/>
    </w:lvlOverride>
    <w:lvlOverride w:ilvl="1">
      <w:startOverride w:val="3"/>
    </w:lvlOverride>
  </w:num>
  <w:num w:numId="54">
    <w:abstractNumId w:val="5"/>
    <w:lvlOverride w:ilvl="0">
      <w:startOverride w:val="2"/>
    </w:lvlOverride>
    <w:lvlOverride w:ilvl="1">
      <w:startOverride w:val="4"/>
    </w:lvlOverride>
  </w:num>
  <w:num w:numId="55">
    <w:abstractNumId w:val="5"/>
  </w:num>
  <w:num w:numId="56">
    <w:abstractNumId w:val="5"/>
  </w:num>
  <w:num w:numId="57">
    <w:abstractNumId w:val="5"/>
  </w:num>
  <w:num w:numId="58">
    <w:abstractNumId w:val="5"/>
  </w:num>
  <w:num w:numId="59">
    <w:abstractNumId w:val="5"/>
  </w:num>
  <w:num w:numId="60">
    <w:abstractNumId w:val="5"/>
  </w:num>
  <w:num w:numId="61">
    <w:abstractNumId w:val="5"/>
  </w:num>
  <w:num w:numId="62">
    <w:abstractNumId w:val="5"/>
  </w:num>
</w:numbering>
</file>

<file path=word/settings.xml><?xml version="1.0" encoding="utf-8"?>
<w:settings xmlns:w="http://schemas.openxmlformats.org/wordprocessingml/2006/main">
  <w:zoom w:percent="100"/>
  <w:defaultTabStop w:val="68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Batang" w:cs="" w:asciiTheme="minorHAnsi" w:cstheme="minorBid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a66f0"/>
    <w:pPr>
      <w:widowControl/>
      <w:bidi w:val="0"/>
      <w:spacing w:lineRule="auto" w:line="254" w:before="0" w:after="160"/>
      <w:jc w:val="left"/>
    </w:pPr>
    <w:rPr>
      <w:rFonts w:eastAsia="Calibri" w:eastAsiaTheme="minorHAnsi" w:ascii="Calibri" w:hAnsi="Calibri" w:cs=""/>
      <w:color w:val="auto"/>
      <w:kern w:val="0"/>
      <w:sz w:val="22"/>
      <w:szCs w:val="22"/>
      <w:lang w:val="pl-PL" w:eastAsia="en-US" w:bidi="ar-SA"/>
    </w:rPr>
  </w:style>
  <w:style w:type="paragraph" w:styleId="Nagwek1">
    <w:name w:val="Heading 1"/>
    <w:basedOn w:val="Normal"/>
    <w:next w:val="Normal"/>
    <w:link w:val="Nagwek1Znak"/>
    <w:uiPriority w:val="9"/>
    <w:qFormat/>
    <w:rsid w:val="00b97b1a"/>
    <w:pPr>
      <w:keepNext w:val="true"/>
      <w:keepLines/>
      <w:numPr>
        <w:ilvl w:val="0"/>
        <w:numId w:val="6"/>
      </w:numPr>
      <w:spacing w:lineRule="exact" w:line="280" w:before="0" w:after="280"/>
      <w:jc w:val="both"/>
      <w:outlineLvl w:val="0"/>
    </w:pPr>
    <w:rPr>
      <w:rFonts w:eastAsia="" w:cs="" w:cstheme="majorBidi" w:eastAsiaTheme="majorEastAsia"/>
      <w:b/>
      <w:bCs/>
      <w:color w:val="10328F"/>
      <w:sz w:val="32"/>
      <w:szCs w:val="28"/>
    </w:rPr>
  </w:style>
  <w:style w:type="paragraph" w:styleId="Nagwek2">
    <w:name w:val="Heading 2"/>
    <w:basedOn w:val="Normal"/>
    <w:next w:val="Normal"/>
    <w:link w:val="Nagwek2Znak"/>
    <w:uiPriority w:val="9"/>
    <w:unhideWhenUsed/>
    <w:qFormat/>
    <w:rsid w:val="00b31d41"/>
    <w:pPr>
      <w:keepNext w:val="true"/>
      <w:keepLines/>
      <w:spacing w:lineRule="exact" w:line="280" w:before="200" w:after="120"/>
      <w:jc w:val="both"/>
      <w:outlineLvl w:val="1"/>
    </w:pPr>
    <w:rPr>
      <w:rFonts w:eastAsia="" w:cs="" w:cstheme="majorBidi" w:eastAsiaTheme="majorEastAsia"/>
      <w:b/>
      <w:bCs/>
      <w:color w:val="FF0032"/>
      <w:szCs w:val="26"/>
    </w:rPr>
  </w:style>
  <w:style w:type="paragraph" w:styleId="Nagwek3">
    <w:name w:val="Heading 3"/>
    <w:basedOn w:val="Normal"/>
    <w:next w:val="Normal"/>
    <w:link w:val="Nagwek3Znak"/>
    <w:uiPriority w:val="9"/>
    <w:semiHidden/>
    <w:unhideWhenUsed/>
    <w:qFormat/>
    <w:rsid w:val="008f0e6b"/>
    <w:pPr>
      <w:keepNext w:val="true"/>
      <w:keepLines/>
      <w:spacing w:before="40" w:after="0"/>
      <w:outlineLvl w:val="2"/>
    </w:pPr>
    <w:rPr>
      <w:rFonts w:ascii="Cambria" w:hAnsi="Cambria" w:eastAsia="" w:cs="" w:asciiTheme="majorHAnsi" w:cstheme="majorBidi" w:eastAsiaTheme="majorEastAsia" w:hAnsiTheme="majorHAnsi"/>
      <w:color w:val="243F60" w:themeColor="accent1" w:themeShade="7f"/>
      <w:sz w:val="24"/>
      <w:szCs w:val="24"/>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uiPriority w:val="99"/>
    <w:qFormat/>
    <w:rsid w:val="000136aa"/>
    <w:rPr/>
  </w:style>
  <w:style w:type="character" w:styleId="StopkaZnak" w:customStyle="1">
    <w:name w:val="Stopka Znak"/>
    <w:basedOn w:val="DefaultParagraphFont"/>
    <w:uiPriority w:val="99"/>
    <w:qFormat/>
    <w:rsid w:val="000136aa"/>
    <w:rPr/>
  </w:style>
  <w:style w:type="character" w:styleId="Nagwek1Znak" w:customStyle="1">
    <w:name w:val="Nagłówek 1 Znak"/>
    <w:basedOn w:val="DefaultParagraphFont"/>
    <w:uiPriority w:val="9"/>
    <w:qFormat/>
    <w:rsid w:val="00b97b1a"/>
    <w:rPr>
      <w:rFonts w:eastAsia="" w:cs="" w:cstheme="majorBidi" w:eastAsiaTheme="majorEastAsia"/>
      <w:b/>
      <w:bCs/>
      <w:color w:val="10328F"/>
      <w:sz w:val="32"/>
      <w:szCs w:val="28"/>
    </w:rPr>
  </w:style>
  <w:style w:type="character" w:styleId="Czeinternetowe">
    <w:name w:val="Hyperlink"/>
    <w:basedOn w:val="DefaultParagraphFont"/>
    <w:uiPriority w:val="99"/>
    <w:unhideWhenUsed/>
    <w:rsid w:val="00db19a1"/>
    <w:rPr>
      <w:color w:val="0000FF" w:themeColor="hyperlink"/>
      <w:u w:val="single"/>
    </w:rPr>
  </w:style>
  <w:style w:type="character" w:styleId="TekstdymkaZnak" w:customStyle="1">
    <w:name w:val="Tekst dymka Znak"/>
    <w:basedOn w:val="DefaultParagraphFont"/>
    <w:link w:val="BalloonText"/>
    <w:uiPriority w:val="99"/>
    <w:semiHidden/>
    <w:qFormat/>
    <w:rsid w:val="00db19a1"/>
    <w:rPr>
      <w:rFonts w:ascii="Tahoma" w:hAnsi="Tahoma" w:cs="Tahoma"/>
      <w:sz w:val="16"/>
      <w:szCs w:val="16"/>
    </w:rPr>
  </w:style>
  <w:style w:type="character" w:styleId="Nagwek2Znak" w:customStyle="1">
    <w:name w:val="Nagłówek 2 Znak"/>
    <w:basedOn w:val="DefaultParagraphFont"/>
    <w:uiPriority w:val="9"/>
    <w:qFormat/>
    <w:rsid w:val="00b31d41"/>
    <w:rPr>
      <w:rFonts w:ascii="Lato" w:hAnsi="Lato" w:eastAsia="" w:cs="" w:cstheme="majorBidi" w:eastAsiaTheme="majorEastAsia"/>
      <w:b/>
      <w:bCs/>
      <w:color w:val="FF0032"/>
      <w:sz w:val="20"/>
      <w:szCs w:val="26"/>
    </w:rPr>
  </w:style>
  <w:style w:type="character" w:styleId="TekstprzypisudolnegoZnak" w:customStyle="1">
    <w:name w:val="Tekst przypisu dolnego Znak"/>
    <w:basedOn w:val="DefaultParagraphFont"/>
    <w:uiPriority w:val="99"/>
    <w:qFormat/>
    <w:rsid w:val="00f94425"/>
    <w:rPr>
      <w:rFonts w:ascii="Lato" w:hAnsi="Lato"/>
      <w:color w:val="000000" w:themeColor="text1"/>
      <w:sz w:val="20"/>
      <w:szCs w:val="20"/>
    </w:rPr>
  </w:style>
  <w:style w:type="character" w:styleId="Znakiprzypiswdolnych">
    <w:name w:val="Znaki przypisów dolnych"/>
    <w:basedOn w:val="DefaultParagraphFont"/>
    <w:uiPriority w:val="99"/>
    <w:unhideWhenUsed/>
    <w:qFormat/>
    <w:rsid w:val="00f94425"/>
    <w:rPr>
      <w:vertAlign w:val="superscript"/>
    </w:rPr>
  </w:style>
  <w:style w:type="character" w:styleId="Zakotwiczenieprzypisudolnego">
    <w:name w:val="Footnote Reference"/>
    <w:rPr>
      <w:vertAlign w:val="superscript"/>
    </w:rPr>
  </w:style>
  <w:style w:type="character" w:styleId="BezodstpwZnak" w:customStyle="1">
    <w:name w:val="Bez odstępów Znak"/>
    <w:basedOn w:val="DefaultParagraphFont"/>
    <w:link w:val="NoSpacing"/>
    <w:uiPriority w:val="1"/>
    <w:qFormat/>
    <w:rsid w:val="00a0404b"/>
    <w:rPr>
      <w:rFonts w:eastAsia="" w:eastAsiaTheme="minorEastAsia"/>
      <w:lang w:eastAsia="pl-PL"/>
    </w:rPr>
  </w:style>
  <w:style w:type="character" w:styleId="TekstprzypisukocowegoZnak" w:customStyle="1">
    <w:name w:val="Tekst przypisu końcowego Znak"/>
    <w:basedOn w:val="DefaultParagraphFont"/>
    <w:uiPriority w:val="99"/>
    <w:semiHidden/>
    <w:qFormat/>
    <w:rsid w:val="003346b5"/>
    <w:rPr>
      <w:rFonts w:ascii="Lato" w:hAnsi="Lato"/>
      <w:color w:val="000000" w:themeColor="text1"/>
      <w:sz w:val="20"/>
      <w:szCs w:val="20"/>
    </w:rPr>
  </w:style>
  <w:style w:type="character" w:styleId="Znakiprzypiswkocowych">
    <w:name w:val="Znaki przypisów końcowych"/>
    <w:basedOn w:val="DefaultParagraphFont"/>
    <w:uiPriority w:val="99"/>
    <w:semiHidden/>
    <w:unhideWhenUsed/>
    <w:qFormat/>
    <w:rsid w:val="003346b5"/>
    <w:rPr>
      <w:vertAlign w:val="superscript"/>
    </w:rPr>
  </w:style>
  <w:style w:type="character" w:styleId="Zakotwiczenieprzypisukocowego">
    <w:name w:val="Endnote Reference"/>
    <w:rPr>
      <w:vertAlign w:val="superscript"/>
    </w:rPr>
  </w:style>
  <w:style w:type="character" w:styleId="PrzypisZnak" w:customStyle="1">
    <w:name w:val="przypis Znak"/>
    <w:basedOn w:val="DefaultParagraphFont"/>
    <w:link w:val="Przypis"/>
    <w:qFormat/>
    <w:rsid w:val="006c474d"/>
    <w:rPr>
      <w:rFonts w:ascii="Lato" w:hAnsi="Lato"/>
      <w:color w:val="000000" w:themeColor="text1"/>
      <w:sz w:val="16"/>
      <w:szCs w:val="20"/>
    </w:rPr>
  </w:style>
  <w:style w:type="character" w:styleId="Annotationreference">
    <w:name w:val="annotation reference"/>
    <w:basedOn w:val="DefaultParagraphFont"/>
    <w:uiPriority w:val="99"/>
    <w:semiHidden/>
    <w:unhideWhenUsed/>
    <w:qFormat/>
    <w:rsid w:val="002477d4"/>
    <w:rPr>
      <w:sz w:val="16"/>
      <w:szCs w:val="16"/>
    </w:rPr>
  </w:style>
  <w:style w:type="character" w:styleId="TekstkomentarzaZnak" w:customStyle="1">
    <w:name w:val="Tekst komentarza Znak"/>
    <w:basedOn w:val="DefaultParagraphFont"/>
    <w:link w:val="Annotationtext"/>
    <w:uiPriority w:val="99"/>
    <w:qFormat/>
    <w:rsid w:val="002477d4"/>
    <w:rPr>
      <w:rFonts w:ascii="Lato" w:hAnsi="Lato"/>
      <w:color w:val="000000" w:themeColor="text1"/>
      <w:sz w:val="20"/>
      <w:szCs w:val="20"/>
    </w:rPr>
  </w:style>
  <w:style w:type="character" w:styleId="TematkomentarzaZnak" w:customStyle="1">
    <w:name w:val="Temat komentarza Znak"/>
    <w:basedOn w:val="TekstkomentarzaZnak"/>
    <w:link w:val="Annotationsubject"/>
    <w:uiPriority w:val="99"/>
    <w:semiHidden/>
    <w:qFormat/>
    <w:rsid w:val="002477d4"/>
    <w:rPr>
      <w:rFonts w:ascii="Lato" w:hAnsi="Lato"/>
      <w:b/>
      <w:bCs/>
      <w:color w:val="000000" w:themeColor="text1"/>
      <w:sz w:val="20"/>
      <w:szCs w:val="20"/>
    </w:rPr>
  </w:style>
  <w:style w:type="character" w:styleId="Mw-headline" w:customStyle="1">
    <w:name w:val="mw-headline"/>
    <w:basedOn w:val="DefaultParagraphFont"/>
    <w:qFormat/>
    <w:rsid w:val="00007cdf"/>
    <w:rPr/>
  </w:style>
  <w:style w:type="character" w:styleId="MapadokumentuZnak" w:customStyle="1">
    <w:name w:val="Mapa dokumentu Znak"/>
    <w:basedOn w:val="DefaultParagraphFont"/>
    <w:link w:val="DocumentMap"/>
    <w:uiPriority w:val="99"/>
    <w:semiHidden/>
    <w:qFormat/>
    <w:rsid w:val="00fd7a89"/>
    <w:rPr>
      <w:rFonts w:ascii="Tahoma" w:hAnsi="Tahoma" w:cs="Tahoma"/>
      <w:color w:val="000000" w:themeColor="text1"/>
      <w:sz w:val="16"/>
      <w:szCs w:val="16"/>
    </w:rPr>
  </w:style>
  <w:style w:type="character" w:styleId="Nierozpoznanawzmianka1" w:customStyle="1">
    <w:name w:val="Nierozpoznana wzmianka1"/>
    <w:basedOn w:val="DefaultParagraphFont"/>
    <w:uiPriority w:val="99"/>
    <w:semiHidden/>
    <w:unhideWhenUsed/>
    <w:qFormat/>
    <w:rsid w:val="00eb6e87"/>
    <w:rPr>
      <w:color w:val="605E5C"/>
      <w:shd w:fill="E1DFDD" w:val="clear"/>
    </w:rPr>
  </w:style>
  <w:style w:type="character" w:styleId="Glowny" w:customStyle="1">
    <w:name w:val="glowny"/>
    <w:basedOn w:val="DefaultParagraphFont"/>
    <w:qFormat/>
    <w:rsid w:val="006437cd"/>
    <w:rPr/>
  </w:style>
  <w:style w:type="character" w:styleId="TytuMAPiTABELZnak" w:customStyle="1">
    <w:name w:val="Tytuł MAP i TABEL Znak"/>
    <w:basedOn w:val="DefaultParagraphFont"/>
    <w:link w:val="TytuMAPiTABEL"/>
    <w:qFormat/>
    <w:rsid w:val="00ac39d8"/>
    <w:rPr>
      <w:rFonts w:eastAsia="MS Mincho" w:cs="Calibri" w:cstheme="minorHAnsi"/>
      <w:b/>
      <w:iCs/>
      <w:sz w:val="20"/>
      <w:szCs w:val="20"/>
    </w:rPr>
  </w:style>
  <w:style w:type="character" w:styleId="RdoTABELZnak" w:customStyle="1">
    <w:name w:val="Źródło TABEL Znak"/>
    <w:basedOn w:val="DefaultParagraphFont"/>
    <w:link w:val="RdoTABEL"/>
    <w:qFormat/>
    <w:rsid w:val="00ac39d8"/>
    <w:rPr>
      <w:rFonts w:ascii="Calibri" w:hAnsi="Calibri" w:cs="Calibri"/>
      <w:color w:val="000000" w:themeColor="text1"/>
      <w:sz w:val="18"/>
      <w:szCs w:val="20"/>
    </w:rPr>
  </w:style>
  <w:style w:type="character" w:styleId="2poziomZnak" w:customStyle="1">
    <w:name w:val="2 poziom Znak"/>
    <w:basedOn w:val="Nagwek1Znak"/>
    <w:link w:val="2poziom"/>
    <w:qFormat/>
    <w:rsid w:val="009c71ad"/>
    <w:rPr>
      <w:rFonts w:ascii="Calibri" w:hAnsi="Calibri" w:eastAsia="" w:cs="" w:cstheme="majorBidi" w:eastAsiaTheme="majorEastAsia"/>
      <w:b/>
      <w:bCs/>
      <w:color w:val="10328F"/>
      <w:sz w:val="30"/>
      <w:szCs w:val="28"/>
      <w:lang w:eastAsia="pl-PL"/>
    </w:rPr>
  </w:style>
  <w:style w:type="character" w:styleId="PoziomostZnak" w:customStyle="1">
    <w:name w:val="Poziom ost Znak"/>
    <w:basedOn w:val="2poziomZnak"/>
    <w:link w:val="Poziomost"/>
    <w:qFormat/>
    <w:rsid w:val="00d1786a"/>
    <w:rPr>
      <w:rFonts w:ascii="Calibri" w:hAnsi="Calibri" w:eastAsia="" w:cs="" w:cstheme="majorBidi" w:eastAsiaTheme="majorEastAsia"/>
      <w:b/>
      <w:bCs/>
      <w:color w:val="10328F"/>
      <w:sz w:val="28"/>
      <w:szCs w:val="28"/>
      <w:lang w:eastAsia="pl-PL"/>
    </w:rPr>
  </w:style>
  <w:style w:type="character" w:styleId="Wyrnienie1Znak" w:customStyle="1">
    <w:name w:val="wyróżnienie 1 Znak"/>
    <w:basedOn w:val="DefaultParagraphFont"/>
    <w:link w:val="Wyrnienie1"/>
    <w:qFormat/>
    <w:locked/>
    <w:rsid w:val="00081b27"/>
    <w:rPr>
      <w:rFonts w:ascii="Lato" w:hAnsi="Lato" w:eastAsia="Times New Roman" w:cs="Times New Roman"/>
      <w:b/>
      <w:color w:val="76923C" w:themeColor="accent3" w:themeShade="bf"/>
      <w:sz w:val="28"/>
    </w:rPr>
  </w:style>
  <w:style w:type="character" w:styleId="ObrazekZnak" w:customStyle="1">
    <w:name w:val="obrazek Znak"/>
    <w:basedOn w:val="DefaultParagraphFont"/>
    <w:link w:val="Obrazek"/>
    <w:qFormat/>
    <w:locked/>
    <w:rsid w:val="00081b27"/>
    <w:rPr>
      <w:rFonts w:ascii="Calibri Light" w:hAnsi="Calibri Light" w:eastAsia="Times New Roman" w:cs="Open Sans"/>
      <w:sz w:val="24"/>
    </w:rPr>
  </w:style>
  <w:style w:type="character" w:styleId="Strong">
    <w:name w:val="Strong"/>
    <w:basedOn w:val="DefaultParagraphFont"/>
    <w:uiPriority w:val="22"/>
    <w:qFormat/>
    <w:rsid w:val="00081b27"/>
    <w:rPr>
      <w:rFonts w:cs="Times New Roman"/>
      <w:b/>
      <w:bCs/>
    </w:rPr>
  </w:style>
  <w:style w:type="character" w:styleId="LegendaZnak" w:customStyle="1">
    <w:name w:val="Legenda Znak"/>
    <w:link w:val="Caption"/>
    <w:uiPriority w:val="35"/>
    <w:qFormat/>
    <w:locked/>
    <w:rsid w:val="00081b27"/>
    <w:rPr>
      <w:rFonts w:ascii="Calibri Light" w:hAnsi="Calibri Light" w:eastAsia="Times New Roman" w:cs="Times New Roman"/>
      <w:b/>
      <w:iCs/>
      <w:sz w:val="24"/>
      <w:szCs w:val="18"/>
    </w:rPr>
  </w:style>
  <w:style w:type="character" w:styleId="Markedcontent" w:customStyle="1">
    <w:name w:val="markedcontent"/>
    <w:basedOn w:val="DefaultParagraphFont"/>
    <w:qFormat/>
    <w:rsid w:val="005068cd"/>
    <w:rPr>
      <w:rFonts w:cs="Times New Roman"/>
    </w:rPr>
  </w:style>
  <w:style w:type="character" w:styleId="TretekstChar" w:customStyle="1">
    <w:name w:val="treść tekst Char"/>
    <w:basedOn w:val="DefaultParagraphFont"/>
    <w:link w:val="Tretekst"/>
    <w:qFormat/>
    <w:locked/>
    <w:rsid w:val="005068cd"/>
    <w:rPr>
      <w:rFonts w:ascii="Arial" w:hAnsi="Arial" w:eastAsia="" w:cs="Times New Roman" w:eastAsiaTheme="minorEastAsia"/>
      <w:sz w:val="20"/>
      <w:szCs w:val="24"/>
    </w:rPr>
  </w:style>
  <w:style w:type="character" w:styleId="AkapitzlistZnak" w:customStyle="1">
    <w:name w:val="Akapit z listą Znak"/>
    <w:basedOn w:val="DefaultParagraphFont"/>
    <w:link w:val="ListParagraph"/>
    <w:uiPriority w:val="34"/>
    <w:qFormat/>
    <w:locked/>
    <w:rsid w:val="005068cd"/>
    <w:rPr>
      <w:color w:val="000000" w:themeColor="text1"/>
    </w:rPr>
  </w:style>
  <w:style w:type="character" w:styleId="TeksttreZnak" w:customStyle="1">
    <w:name w:val="tekst treść Znak"/>
    <w:basedOn w:val="DefaultParagraphFont"/>
    <w:link w:val="Teksttre"/>
    <w:qFormat/>
    <w:locked/>
    <w:rsid w:val="005068cd"/>
    <w:rPr>
      <w:rFonts w:ascii="Arial" w:hAnsi="Arial" w:eastAsia="Times New Roman" w:cs="Arial"/>
      <w:sz w:val="20"/>
    </w:rPr>
  </w:style>
  <w:style w:type="character" w:styleId="Fontstyle01" w:customStyle="1">
    <w:name w:val="fontstyle01"/>
    <w:basedOn w:val="DefaultParagraphFont"/>
    <w:qFormat/>
    <w:rsid w:val="0081249f"/>
    <w:rPr>
      <w:rFonts w:ascii="Calibri" w:hAnsi="Calibri" w:cs="Calibri"/>
      <w:color w:val="000000"/>
      <w:sz w:val="22"/>
      <w:szCs w:val="22"/>
    </w:rPr>
  </w:style>
  <w:style w:type="character" w:styleId="Fontstyle21" w:customStyle="1">
    <w:name w:val="fontstyle21"/>
    <w:basedOn w:val="DefaultParagraphFont"/>
    <w:qFormat/>
    <w:rsid w:val="0081249f"/>
    <w:rPr>
      <w:rFonts w:ascii="Calibri" w:hAnsi="Calibri" w:cs="Calibri"/>
      <w:i/>
      <w:iCs/>
      <w:color w:val="000000"/>
      <w:sz w:val="22"/>
      <w:szCs w:val="22"/>
    </w:rPr>
  </w:style>
  <w:style w:type="character" w:styleId="Lrzxr" w:customStyle="1">
    <w:name w:val="lrzxr"/>
    <w:basedOn w:val="DefaultParagraphFont"/>
    <w:qFormat/>
    <w:rsid w:val="00941afc"/>
    <w:rPr/>
  </w:style>
  <w:style w:type="character" w:styleId="Hgkelc" w:customStyle="1">
    <w:name w:val="hgkelc"/>
    <w:basedOn w:val="DefaultParagraphFont"/>
    <w:qFormat/>
    <w:rsid w:val="006763ce"/>
    <w:rPr/>
  </w:style>
  <w:style w:type="character" w:styleId="Xcontentpasted2" w:customStyle="1">
    <w:name w:val="x_contentpasted2"/>
    <w:basedOn w:val="DefaultParagraphFont"/>
    <w:qFormat/>
    <w:rsid w:val="005e7985"/>
    <w:rPr/>
  </w:style>
  <w:style w:type="character" w:styleId="Nagwek3Znak" w:customStyle="1">
    <w:name w:val="Nagłówek 3 Znak"/>
    <w:basedOn w:val="DefaultParagraphFont"/>
    <w:uiPriority w:val="9"/>
    <w:semiHidden/>
    <w:qFormat/>
    <w:rsid w:val="008f0e6b"/>
    <w:rPr>
      <w:rFonts w:ascii="Cambria" w:hAnsi="Cambria" w:eastAsia="" w:cs="" w:asciiTheme="majorHAnsi" w:cstheme="majorBidi" w:eastAsiaTheme="majorEastAsia" w:hAnsiTheme="majorHAnsi"/>
      <w:color w:val="243F60" w:themeColor="accent1" w:themeShade="7f"/>
      <w:sz w:val="24"/>
      <w:szCs w:val="24"/>
    </w:rPr>
  </w:style>
  <w:style w:type="character" w:styleId="UnresolvedMention">
    <w:name w:val="Unresolved Mention"/>
    <w:basedOn w:val="DefaultParagraphFont"/>
    <w:uiPriority w:val="99"/>
    <w:semiHidden/>
    <w:unhideWhenUsed/>
    <w:qFormat/>
    <w:rsid w:val="00225ed3"/>
    <w:rPr>
      <w:color w:val="605E5C"/>
      <w:shd w:fill="E1DFDD" w:val="clear"/>
    </w:rPr>
  </w:style>
  <w:style w:type="character" w:styleId="Czeindeksu">
    <w:name w:val="Łącze indeksu"/>
    <w:qFormat/>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Gwkaistopka">
    <w:name w:val="Główka i stopka"/>
    <w:basedOn w:val="Normal"/>
    <w:qFormat/>
    <w:pPr/>
    <w:rPr/>
  </w:style>
  <w:style w:type="paragraph" w:styleId="Gwka">
    <w:name w:val="Header"/>
    <w:basedOn w:val="Normal"/>
    <w:link w:val="NagwekZnak"/>
    <w:uiPriority w:val="99"/>
    <w:unhideWhenUsed/>
    <w:rsid w:val="000136aa"/>
    <w:pPr>
      <w:tabs>
        <w:tab w:val="clear" w:pos="680"/>
        <w:tab w:val="center" w:pos="4536" w:leader="none"/>
        <w:tab w:val="right" w:pos="9072" w:leader="none"/>
      </w:tabs>
      <w:spacing w:lineRule="auto" w:line="240" w:before="0" w:after="0"/>
      <w:jc w:val="both"/>
    </w:pPr>
    <w:rPr>
      <w:rFonts w:eastAsia="Batang"/>
      <w:color w:val="000000" w:themeColor="text1"/>
    </w:rPr>
  </w:style>
  <w:style w:type="paragraph" w:styleId="Stopka">
    <w:name w:val="Footer"/>
    <w:basedOn w:val="Normal"/>
    <w:link w:val="StopkaZnak"/>
    <w:uiPriority w:val="99"/>
    <w:unhideWhenUsed/>
    <w:rsid w:val="000136aa"/>
    <w:pPr>
      <w:tabs>
        <w:tab w:val="clear" w:pos="680"/>
        <w:tab w:val="center" w:pos="4536" w:leader="none"/>
        <w:tab w:val="right" w:pos="9072" w:leader="none"/>
      </w:tabs>
      <w:spacing w:lineRule="auto" w:line="240" w:before="0" w:after="0"/>
      <w:jc w:val="both"/>
    </w:pPr>
    <w:rPr>
      <w:rFonts w:eastAsia="Batang"/>
      <w:color w:val="000000" w:themeColor="text1"/>
    </w:rPr>
  </w:style>
  <w:style w:type="paragraph" w:styleId="Default" w:customStyle="1">
    <w:name w:val="Default"/>
    <w:qFormat/>
    <w:rsid w:val="000136aa"/>
    <w:pPr>
      <w:widowControl/>
      <w:bidi w:val="0"/>
      <w:spacing w:lineRule="auto" w:line="240" w:before="0" w:after="0"/>
      <w:jc w:val="left"/>
    </w:pPr>
    <w:rPr>
      <w:rFonts w:ascii="Times New Roman" w:hAnsi="Times New Roman" w:cs="Times New Roman" w:eastAsia="Batang"/>
      <w:color w:val="000000"/>
      <w:kern w:val="0"/>
      <w:sz w:val="24"/>
      <w:szCs w:val="24"/>
      <w:lang w:val="pl-PL" w:eastAsia="en-US" w:bidi="ar-SA"/>
    </w:rPr>
  </w:style>
  <w:style w:type="paragraph" w:styleId="ListParagraph">
    <w:name w:val="List Paragraph"/>
    <w:basedOn w:val="Normal"/>
    <w:link w:val="AkapitzlistZnak"/>
    <w:uiPriority w:val="34"/>
    <w:qFormat/>
    <w:rsid w:val="000136aa"/>
    <w:pPr>
      <w:spacing w:lineRule="exact" w:line="280" w:before="0" w:after="120"/>
      <w:ind w:left="720" w:hanging="0"/>
      <w:jc w:val="both"/>
    </w:pPr>
    <w:rPr>
      <w:rFonts w:eastAsia="Batang"/>
      <w:color w:val="000000" w:themeColor="text1"/>
    </w:rPr>
  </w:style>
  <w:style w:type="paragraph" w:styleId="Spistreci2">
    <w:name w:val="TOC 2"/>
    <w:basedOn w:val="Normal"/>
    <w:next w:val="Normal"/>
    <w:autoRedefine/>
    <w:uiPriority w:val="39"/>
    <w:unhideWhenUsed/>
    <w:rsid w:val="000136aa"/>
    <w:pPr>
      <w:spacing w:lineRule="auto" w:line="259" w:before="0" w:after="100"/>
      <w:ind w:left="720" w:hanging="360"/>
      <w:jc w:val="both"/>
    </w:pPr>
    <w:rPr>
      <w:rFonts w:eastAsia="" w:cs="Times New Roman" w:eastAsiaTheme="minorEastAsia"/>
      <w:color w:val="FF0000"/>
      <w:lang w:eastAsia="pl-PL"/>
    </w:rPr>
  </w:style>
  <w:style w:type="paragraph" w:styleId="Spistreci1">
    <w:name w:val="TOC 1"/>
    <w:basedOn w:val="Normal"/>
    <w:next w:val="Normal"/>
    <w:autoRedefine/>
    <w:uiPriority w:val="39"/>
    <w:unhideWhenUsed/>
    <w:rsid w:val="00c26f3a"/>
    <w:pPr>
      <w:spacing w:lineRule="exact" w:line="280" w:before="0" w:after="0"/>
      <w:jc w:val="both"/>
    </w:pPr>
    <w:rPr>
      <w:rFonts w:eastAsia="" w:cs="Times New Roman" w:eastAsiaTheme="minorEastAsia"/>
      <w:color w:val="4F6228" w:themeColor="accent3" w:themeShade="80"/>
      <w:lang w:eastAsia="pl-PL"/>
    </w:rPr>
  </w:style>
  <w:style w:type="paragraph" w:styleId="Nagwekindeksu">
    <w:name w:val="Index Heading"/>
    <w:basedOn w:val="Nagwek"/>
    <w:pPr/>
    <w:rPr/>
  </w:style>
  <w:style w:type="paragraph" w:styleId="Nagwekspisutreci">
    <w:name w:val="TOC Heading"/>
    <w:basedOn w:val="Nagwek1"/>
    <w:next w:val="Normal"/>
    <w:uiPriority w:val="39"/>
    <w:unhideWhenUsed/>
    <w:qFormat/>
    <w:rsid w:val="00db19a1"/>
    <w:pPr>
      <w:outlineLvl w:val="9"/>
    </w:pPr>
    <w:rPr/>
  </w:style>
  <w:style w:type="paragraph" w:styleId="BalloonText">
    <w:name w:val="Balloon Text"/>
    <w:basedOn w:val="Normal"/>
    <w:link w:val="TekstdymkaZnak"/>
    <w:uiPriority w:val="99"/>
    <w:semiHidden/>
    <w:unhideWhenUsed/>
    <w:qFormat/>
    <w:rsid w:val="00db19a1"/>
    <w:pPr>
      <w:spacing w:lineRule="auto" w:line="240" w:before="0" w:after="0"/>
    </w:pPr>
    <w:rPr>
      <w:rFonts w:ascii="Tahoma" w:hAnsi="Tahoma" w:cs="Tahoma"/>
      <w:sz w:val="16"/>
      <w:szCs w:val="16"/>
    </w:rPr>
  </w:style>
  <w:style w:type="paragraph" w:styleId="Przypisdolny">
    <w:name w:val="Footnote Text"/>
    <w:basedOn w:val="Normal"/>
    <w:link w:val="TekstprzypisudolnegoZnak"/>
    <w:uiPriority w:val="99"/>
    <w:unhideWhenUsed/>
    <w:rsid w:val="00f94425"/>
    <w:pPr>
      <w:spacing w:lineRule="auto" w:line="240" w:before="0" w:after="0"/>
      <w:jc w:val="both"/>
    </w:pPr>
    <w:rPr>
      <w:rFonts w:eastAsia="Batang"/>
      <w:color w:val="000000" w:themeColor="text1"/>
      <w:szCs w:val="20"/>
    </w:rPr>
  </w:style>
  <w:style w:type="paragraph" w:styleId="NoSpacing">
    <w:name w:val="No Spacing"/>
    <w:link w:val="BezodstpwZnak"/>
    <w:uiPriority w:val="1"/>
    <w:qFormat/>
    <w:rsid w:val="00a0404b"/>
    <w:pPr>
      <w:widowControl/>
      <w:bidi w:val="0"/>
      <w:spacing w:lineRule="auto" w:line="240" w:before="0" w:after="0"/>
      <w:jc w:val="left"/>
    </w:pPr>
    <w:rPr>
      <w:rFonts w:eastAsia="" w:eastAsiaTheme="minorEastAsia" w:ascii="Calibri" w:hAnsi="Calibri" w:cs=""/>
      <w:color w:val="auto"/>
      <w:kern w:val="0"/>
      <w:sz w:val="22"/>
      <w:szCs w:val="22"/>
      <w:lang w:eastAsia="pl-PL" w:val="pl-PL" w:bidi="ar-SA"/>
    </w:rPr>
  </w:style>
  <w:style w:type="paragraph" w:styleId="Przypiskocowy">
    <w:name w:val="Endnote Text"/>
    <w:basedOn w:val="Normal"/>
    <w:link w:val="TekstprzypisukocowegoZnak"/>
    <w:uiPriority w:val="99"/>
    <w:semiHidden/>
    <w:unhideWhenUsed/>
    <w:rsid w:val="003346b5"/>
    <w:pPr>
      <w:spacing w:lineRule="auto" w:line="240" w:before="0" w:after="0"/>
    </w:pPr>
    <w:rPr>
      <w:szCs w:val="20"/>
    </w:rPr>
  </w:style>
  <w:style w:type="paragraph" w:styleId="Przypis" w:customStyle="1">
    <w:name w:val="przypis"/>
    <w:basedOn w:val="Przypisdolny"/>
    <w:link w:val="PrzypisZnak"/>
    <w:qFormat/>
    <w:rsid w:val="006c474d"/>
    <w:pPr>
      <w:spacing w:before="0" w:after="40"/>
    </w:pPr>
    <w:rPr>
      <w:sz w:val="16"/>
    </w:rPr>
  </w:style>
  <w:style w:type="paragraph" w:styleId="Annotationtext">
    <w:name w:val="annotation text"/>
    <w:basedOn w:val="Normal"/>
    <w:link w:val="TekstkomentarzaZnak"/>
    <w:uiPriority w:val="99"/>
    <w:unhideWhenUsed/>
    <w:qFormat/>
    <w:rsid w:val="002477d4"/>
    <w:pPr>
      <w:spacing w:lineRule="auto" w:line="240" w:before="0" w:after="120"/>
      <w:jc w:val="both"/>
    </w:pPr>
    <w:rPr>
      <w:rFonts w:eastAsia="Batang"/>
      <w:color w:val="000000" w:themeColor="text1"/>
      <w:szCs w:val="20"/>
    </w:rPr>
  </w:style>
  <w:style w:type="paragraph" w:styleId="Annotationsubject">
    <w:name w:val="annotation subject"/>
    <w:basedOn w:val="Annotationtext"/>
    <w:next w:val="Annotationtext"/>
    <w:link w:val="TematkomentarzaZnak"/>
    <w:uiPriority w:val="99"/>
    <w:semiHidden/>
    <w:unhideWhenUsed/>
    <w:qFormat/>
    <w:rsid w:val="002477d4"/>
    <w:pPr/>
    <w:rPr>
      <w:b/>
      <w:bCs/>
    </w:rPr>
  </w:style>
  <w:style w:type="paragraph" w:styleId="Revision">
    <w:name w:val="Revision"/>
    <w:uiPriority w:val="99"/>
    <w:semiHidden/>
    <w:qFormat/>
    <w:rsid w:val="00c913f2"/>
    <w:pPr>
      <w:widowControl/>
      <w:bidi w:val="0"/>
      <w:spacing w:lineRule="auto" w:line="240" w:before="0" w:after="0"/>
      <w:jc w:val="left"/>
    </w:pPr>
    <w:rPr>
      <w:rFonts w:ascii="Lato" w:hAnsi="Lato" w:eastAsia="Batang" w:cs=""/>
      <w:color w:val="000000" w:themeColor="text1"/>
      <w:kern w:val="0"/>
      <w:sz w:val="20"/>
      <w:szCs w:val="22"/>
      <w:lang w:val="pl-PL" w:eastAsia="en-US" w:bidi="ar-SA"/>
    </w:rPr>
  </w:style>
  <w:style w:type="paragraph" w:styleId="DocumentMap">
    <w:name w:val="Document Map"/>
    <w:basedOn w:val="Normal"/>
    <w:link w:val="MapadokumentuZnak"/>
    <w:uiPriority w:val="99"/>
    <w:semiHidden/>
    <w:unhideWhenUsed/>
    <w:qFormat/>
    <w:rsid w:val="00fd7a89"/>
    <w:pPr>
      <w:spacing w:lineRule="auto" w:line="240" w:before="0" w:after="0"/>
    </w:pPr>
    <w:rPr>
      <w:rFonts w:ascii="Tahoma" w:hAnsi="Tahoma" w:cs="Tahoma"/>
      <w:sz w:val="16"/>
      <w:szCs w:val="16"/>
    </w:rPr>
  </w:style>
  <w:style w:type="paragraph" w:styleId="ALatoblokzasadniczy" w:customStyle="1">
    <w:name w:val="A_Lato_blok zasadniczy"/>
    <w:basedOn w:val="Normal"/>
    <w:qFormat/>
    <w:rsid w:val="006c266e"/>
    <w:pPr>
      <w:spacing w:lineRule="exact" w:line="260" w:before="0" w:after="120"/>
      <w:jc w:val="both"/>
    </w:pPr>
    <w:rPr>
      <w:szCs w:val="20"/>
    </w:rPr>
  </w:style>
  <w:style w:type="paragraph" w:styleId="TytuMAPiTABEL" w:customStyle="1">
    <w:name w:val="Tytuł MAP i TABEL"/>
    <w:basedOn w:val="Normal"/>
    <w:link w:val="TytuMAPiTABELZnak"/>
    <w:qFormat/>
    <w:rsid w:val="00ac39d8"/>
    <w:pPr>
      <w:spacing w:lineRule="auto" w:line="240" w:before="60" w:after="60"/>
      <w:jc w:val="both"/>
    </w:pPr>
    <w:rPr>
      <w:rFonts w:eastAsia="MS Mincho" w:cs="Calibri" w:cstheme="minorHAnsi"/>
      <w:b/>
      <w:iCs/>
      <w:sz w:val="20"/>
      <w:szCs w:val="20"/>
    </w:rPr>
  </w:style>
  <w:style w:type="paragraph" w:styleId="RdoTABEL" w:customStyle="1">
    <w:name w:val="Źródło TABEL"/>
    <w:basedOn w:val="Normal"/>
    <w:link w:val="RdoTABELZnak"/>
    <w:qFormat/>
    <w:rsid w:val="00ac39d8"/>
    <w:pPr>
      <w:spacing w:lineRule="auto" w:line="276" w:before="60" w:after="0"/>
      <w:jc w:val="both"/>
    </w:pPr>
    <w:rPr>
      <w:rFonts w:ascii="Calibri" w:hAnsi="Calibri" w:eastAsia="Batang" w:cs="Calibri"/>
      <w:color w:val="000000" w:themeColor="text1"/>
      <w:sz w:val="18"/>
      <w:szCs w:val="20"/>
    </w:rPr>
  </w:style>
  <w:style w:type="paragraph" w:styleId="2poziom" w:customStyle="1">
    <w:name w:val="2 poziom"/>
    <w:basedOn w:val="Nagwek1"/>
    <w:link w:val="2poziomZnak"/>
    <w:qFormat/>
    <w:rsid w:val="009c71ad"/>
    <w:pPr>
      <w:numPr>
        <w:ilvl w:val="1"/>
        <w:numId w:val="5"/>
      </w:numPr>
    </w:pPr>
    <w:rPr>
      <w:rFonts w:ascii="Calibri" w:hAnsi="Calibri"/>
      <w:sz w:val="30"/>
      <w:lang w:eastAsia="pl-PL"/>
    </w:rPr>
  </w:style>
  <w:style w:type="paragraph" w:styleId="Poziomost" w:customStyle="1">
    <w:name w:val="Poziom ost"/>
    <w:basedOn w:val="2poziom"/>
    <w:link w:val="PoziomostZnak"/>
    <w:qFormat/>
    <w:rsid w:val="00d1786a"/>
    <w:pPr>
      <w:numPr>
        <w:ilvl w:val="2"/>
        <w:numId w:val="6"/>
      </w:numPr>
      <w:tabs>
        <w:tab w:val="clear" w:pos="680"/>
        <w:tab w:val="left" w:pos="360" w:leader="none"/>
      </w:tabs>
      <w:ind w:left="792" w:hanging="432"/>
    </w:pPr>
    <w:rPr>
      <w:sz w:val="28"/>
    </w:rPr>
  </w:style>
  <w:style w:type="paragraph" w:styleId="Wyrnienie1" w:customStyle="1">
    <w:name w:val="wyróżnienie 1"/>
    <w:basedOn w:val="Normal"/>
    <w:link w:val="Wyrnienie1Znak"/>
    <w:qFormat/>
    <w:rsid w:val="00081b27"/>
    <w:pPr>
      <w:spacing w:lineRule="auto" w:line="276" w:before="120" w:after="120"/>
      <w:jc w:val="both"/>
    </w:pPr>
    <w:rPr>
      <w:rFonts w:ascii="Lato" w:hAnsi="Lato" w:eastAsia="Times New Roman" w:cs="Times New Roman"/>
      <w:b/>
      <w:color w:val="76923C" w:themeColor="accent3" w:themeShade="bf"/>
      <w:sz w:val="28"/>
    </w:rPr>
  </w:style>
  <w:style w:type="paragraph" w:styleId="Obrazek" w:customStyle="1">
    <w:name w:val="obrazek"/>
    <w:basedOn w:val="Normal"/>
    <w:link w:val="ObrazekZnak"/>
    <w:qFormat/>
    <w:rsid w:val="00081b27"/>
    <w:pPr>
      <w:spacing w:lineRule="auto" w:line="276" w:before="120" w:after="120"/>
      <w:jc w:val="center"/>
    </w:pPr>
    <w:rPr>
      <w:rFonts w:ascii="Calibri Light" w:hAnsi="Calibri Light" w:eastAsia="Times New Roman" w:cs="Open Sans"/>
      <w:sz w:val="24"/>
    </w:rPr>
  </w:style>
  <w:style w:type="paragraph" w:styleId="Caption">
    <w:name w:val="caption"/>
    <w:basedOn w:val="Normal"/>
    <w:next w:val="Normal"/>
    <w:link w:val="LegendaZnak"/>
    <w:uiPriority w:val="35"/>
    <w:unhideWhenUsed/>
    <w:qFormat/>
    <w:rsid w:val="00081b27"/>
    <w:pPr>
      <w:spacing w:lineRule="auto" w:line="240" w:before="200" w:after="200"/>
      <w:jc w:val="both"/>
    </w:pPr>
    <w:rPr>
      <w:rFonts w:ascii="Calibri Light" w:hAnsi="Calibri Light" w:eastAsia="Times New Roman" w:cs="Times New Roman"/>
      <w:b/>
      <w:iCs/>
      <w:sz w:val="24"/>
      <w:szCs w:val="18"/>
    </w:rPr>
  </w:style>
  <w:style w:type="paragraph" w:styleId="Rdo" w:customStyle="1">
    <w:name w:val="Źródło"/>
    <w:basedOn w:val="Normal"/>
    <w:next w:val="Normal"/>
    <w:qFormat/>
    <w:rsid w:val="00081b27"/>
    <w:pPr>
      <w:spacing w:lineRule="auto" w:line="276" w:before="80" w:after="160"/>
      <w:jc w:val="both"/>
    </w:pPr>
    <w:rPr>
      <w:rFonts w:ascii="Calibri Light" w:hAnsi="Calibri Light" w:eastAsia="Times New Roman" w:cs="Times New Roman"/>
      <w:b/>
      <w:sz w:val="20"/>
    </w:rPr>
  </w:style>
  <w:style w:type="paragraph" w:styleId="Tretekst" w:customStyle="1">
    <w:name w:val="treść tekst"/>
    <w:basedOn w:val="Normal"/>
    <w:link w:val="TretekstChar"/>
    <w:qFormat/>
    <w:rsid w:val="005068cd"/>
    <w:pPr>
      <w:spacing w:lineRule="auto" w:line="276" w:before="120" w:after="120"/>
      <w:jc w:val="both"/>
    </w:pPr>
    <w:rPr>
      <w:rFonts w:ascii="Arial" w:hAnsi="Arial" w:eastAsia="" w:cs="Times New Roman" w:eastAsiaTheme="minorEastAsia"/>
      <w:sz w:val="20"/>
      <w:szCs w:val="24"/>
    </w:rPr>
  </w:style>
  <w:style w:type="paragraph" w:styleId="Tyturozdziau" w:customStyle="1">
    <w:name w:val="tytuł rozdziału"/>
    <w:basedOn w:val="Nagwek2"/>
    <w:autoRedefine/>
    <w:qFormat/>
    <w:rsid w:val="005068cd"/>
    <w:pPr>
      <w:keepNext w:val="false"/>
      <w:keepLines w:val="false"/>
      <w:numPr>
        <w:ilvl w:val="1"/>
        <w:numId w:val="9"/>
      </w:numPr>
      <w:spacing w:lineRule="exact" w:line="300" w:before="360" w:after="0"/>
    </w:pPr>
    <w:rPr>
      <w:rFonts w:ascii="Arial" w:hAnsi="Arial" w:cs="Arial"/>
      <w:smallCaps/>
      <w:color w:val="71BF4B"/>
      <w:sz w:val="32"/>
      <w:szCs w:val="32"/>
    </w:rPr>
  </w:style>
  <w:style w:type="paragraph" w:styleId="Teksttre" w:customStyle="1">
    <w:name w:val="tekst treść"/>
    <w:basedOn w:val="Normal"/>
    <w:link w:val="TeksttreZnak"/>
    <w:autoRedefine/>
    <w:qFormat/>
    <w:rsid w:val="005068cd"/>
    <w:pPr>
      <w:spacing w:lineRule="auto" w:line="276" w:before="120" w:after="120"/>
      <w:jc w:val="both"/>
    </w:pPr>
    <w:rPr>
      <w:rFonts w:ascii="Arial" w:hAnsi="Arial" w:eastAsia="Times New Roman" w:cs="Arial"/>
      <w:sz w:val="20"/>
    </w:rPr>
  </w:style>
  <w:style w:type="paragraph" w:styleId="NormalWeb">
    <w:name w:val="Normal (Web)"/>
    <w:basedOn w:val="Normal"/>
    <w:uiPriority w:val="99"/>
    <w:semiHidden/>
    <w:unhideWhenUsed/>
    <w:qFormat/>
    <w:rsid w:val="00ef0e61"/>
    <w:pPr>
      <w:spacing w:lineRule="auto" w:line="240" w:beforeAutospacing="1" w:afterAutospacing="1"/>
    </w:pPr>
    <w:rPr>
      <w:rFonts w:ascii="Times New Roman" w:hAnsi="Times New Roman" w:eastAsia="Times New Roman" w:cs="Times New Roman"/>
      <w:sz w:val="24"/>
      <w:szCs w:val="24"/>
      <w:lang w:eastAsia="pl-PL"/>
    </w:rPr>
  </w:style>
  <w:style w:type="paragraph" w:styleId="Standard" w:customStyle="1">
    <w:name w:val="Standard"/>
    <w:qFormat/>
    <w:rsid w:val="00941afc"/>
    <w:pPr>
      <w:widowControl/>
      <w:suppressAutoHyphens w:val="true"/>
      <w:bidi w:val="0"/>
      <w:spacing w:lineRule="auto" w:line="276" w:before="200" w:after="200"/>
      <w:jc w:val="left"/>
      <w:textAlignment w:val="baseline"/>
    </w:pPr>
    <w:rPr>
      <w:rFonts w:ascii="Calibri" w:hAnsi="Calibri" w:eastAsia="SimSun" w:cs="F" w:asciiTheme="minorHAnsi" w:hAnsiTheme="minorHAnsi"/>
      <w:color w:val="auto"/>
      <w:kern w:val="2"/>
      <w:sz w:val="20"/>
      <w:szCs w:val="20"/>
      <w:lang w:val="pl-PL" w:eastAsia="en-US" w:bidi="ar-SA"/>
    </w:rPr>
  </w:style>
  <w:style w:type="paragraph" w:styleId="Xmsonormal" w:customStyle="1">
    <w:name w:val="x_msonormal"/>
    <w:basedOn w:val="Normal"/>
    <w:qFormat/>
    <w:rsid w:val="005e7985"/>
    <w:pPr>
      <w:spacing w:lineRule="auto" w:line="240" w:before="0" w:after="0"/>
    </w:pPr>
    <w:rPr>
      <w:rFonts w:ascii="Calibri" w:hAnsi="Calibri" w:cs="Calibri"/>
      <w:lang w:eastAsia="pl-PL"/>
    </w:rPr>
  </w:style>
  <w:style w:type="paragraph" w:styleId="Xxmsonormal" w:customStyle="1">
    <w:name w:val="x_xmsonormal"/>
    <w:basedOn w:val="Normal"/>
    <w:qFormat/>
    <w:rsid w:val="005e7985"/>
    <w:pPr>
      <w:spacing w:lineRule="auto" w:line="240" w:before="0" w:after="0"/>
    </w:pPr>
    <w:rPr>
      <w:rFonts w:ascii="Calibri" w:hAnsi="Calibri" w:cs="Calibri"/>
      <w:lang w:eastAsia="pl-PL"/>
    </w:rPr>
  </w:style>
  <w:style w:type="paragraph" w:styleId="Zawartoramki">
    <w:name w:val="Zawartość ramki"/>
    <w:basedOn w:val="Normal"/>
    <w:qFormat/>
    <w:pPr/>
    <w:rPr/>
  </w:style>
  <w:style w:type="numbering" w:styleId="NoList" w:default="1">
    <w:name w:val="No List"/>
    <w:uiPriority w:val="99"/>
    <w:semiHidden/>
    <w:unhideWhenUsed/>
    <w:qFormat/>
  </w:style>
  <w:style w:type="numbering" w:styleId="Biecalista1" w:customStyle="1">
    <w:name w:val="Bieżąca lista1"/>
    <w:uiPriority w:val="99"/>
    <w:qFormat/>
    <w:rsid w:val="006a1f0d"/>
  </w:style>
  <w:style w:type="numbering" w:styleId="Biecalista2" w:customStyle="1">
    <w:name w:val="Bieżąca lista2"/>
    <w:uiPriority w:val="99"/>
    <w:qFormat/>
    <w:rsid w:val="006a1f0d"/>
  </w:style>
  <w:style w:type="numbering" w:styleId="Biecalista3" w:customStyle="1">
    <w:name w:val="Bieżąca lista3"/>
    <w:uiPriority w:val="99"/>
    <w:qFormat/>
    <w:rsid w:val="006a1f0d"/>
  </w:style>
  <w:style w:type="numbering" w:styleId="Biecalista4" w:customStyle="1">
    <w:name w:val="Bieżąca lista4"/>
    <w:uiPriority w:val="99"/>
    <w:qFormat/>
    <w:rsid w:val="006a1f0d"/>
  </w:style>
  <w:style w:type="numbering" w:styleId="Biecalista5" w:customStyle="1">
    <w:name w:val="Bieżąca lista5"/>
    <w:uiPriority w:val="99"/>
    <w:qFormat/>
    <w:rsid w:val="002d5409"/>
  </w:style>
  <w:style w:type="numbering" w:styleId="Biecalista6" w:customStyle="1">
    <w:name w:val="Bieżąca lista6"/>
    <w:uiPriority w:val="99"/>
    <w:qFormat/>
    <w:rsid w:val="00402b92"/>
  </w:style>
  <w:style w:type="numbering" w:styleId="Biecalista7" w:customStyle="1">
    <w:name w:val="Bieżąca lista7"/>
    <w:uiPriority w:val="99"/>
    <w:qFormat/>
    <w:rsid w:val="00402b92"/>
  </w:style>
  <w:style w:type="numbering" w:styleId="Biecalista8" w:customStyle="1">
    <w:name w:val="Bieżąca lista8"/>
    <w:uiPriority w:val="99"/>
    <w:qFormat/>
    <w:rsid w:val="00f53575"/>
  </w:style>
  <w:style w:type="numbering" w:styleId="Biecalista9" w:customStyle="1">
    <w:name w:val="Bieżąca lista9"/>
    <w:uiPriority w:val="99"/>
    <w:qFormat/>
    <w:rsid w:val="00746987"/>
  </w:style>
  <w:style w:type="numbering" w:styleId="Biecalista10" w:customStyle="1">
    <w:name w:val="Bieżąca lista10"/>
    <w:uiPriority w:val="99"/>
    <w:qFormat/>
    <w:rsid w:val="00891ecc"/>
  </w:style>
  <w:style w:type="numbering" w:styleId="Biecalista11" w:customStyle="1">
    <w:name w:val="Bieżąca lista11"/>
    <w:uiPriority w:val="99"/>
    <w:qFormat/>
    <w:rsid w:val="007d6c98"/>
  </w:style>
  <w:style w:type="numbering" w:styleId="Biecalista12" w:customStyle="1">
    <w:name w:val="Bieżąca lista12"/>
    <w:uiPriority w:val="99"/>
    <w:qFormat/>
    <w:rsid w:val="00327cce"/>
  </w:style>
  <w:style w:type="numbering" w:styleId="Biecalista13" w:customStyle="1">
    <w:name w:val="Bieżąca lista13"/>
    <w:uiPriority w:val="99"/>
    <w:qFormat/>
    <w:rsid w:val="00300ddc"/>
  </w:style>
  <w:style w:type="numbering" w:styleId="Biecalista14" w:customStyle="1">
    <w:name w:val="Bieżąca lista14"/>
    <w:uiPriority w:val="99"/>
    <w:qFormat/>
    <w:rsid w:val="00165316"/>
  </w:style>
  <w:style w:type="numbering" w:styleId="Biecalista15" w:customStyle="1">
    <w:name w:val="Bieżąca lista15"/>
    <w:uiPriority w:val="99"/>
    <w:qFormat/>
    <w:rsid w:val="0011459e"/>
  </w:style>
  <w:style w:type="numbering" w:styleId="Biecalista16" w:customStyle="1">
    <w:name w:val="Bieżąca lista16"/>
    <w:uiPriority w:val="99"/>
    <w:qFormat/>
    <w:rsid w:val="00394697"/>
  </w:style>
  <w:style w:type="numbering" w:styleId="Biecalista17" w:customStyle="1">
    <w:name w:val="Bieżąca lista17"/>
    <w:uiPriority w:val="99"/>
    <w:qFormat/>
    <w:rsid w:val="00394697"/>
  </w:style>
  <w:style w:type="numbering" w:styleId="Biecalista18" w:customStyle="1">
    <w:name w:val="Bieżąca lista18"/>
    <w:uiPriority w:val="99"/>
    <w:qFormat/>
    <w:rsid w:val="00394697"/>
  </w:style>
  <w:style w:type="numbering" w:styleId="Biecalista19" w:customStyle="1">
    <w:name w:val="Bieżąca lista19"/>
    <w:uiPriority w:val="99"/>
    <w:qFormat/>
    <w:rsid w:val="001c2849"/>
  </w:style>
  <w:style w:type="numbering" w:styleId="Biecalista20" w:customStyle="1">
    <w:name w:val="Bieżąca lista20"/>
    <w:uiPriority w:val="99"/>
    <w:qFormat/>
    <w:rsid w:val="00170d78"/>
  </w:style>
  <w:style w:type="numbering" w:styleId="Biecalista21" w:customStyle="1">
    <w:name w:val="Bieżąca lista21"/>
    <w:uiPriority w:val="99"/>
    <w:qFormat/>
    <w:rsid w:val="00170d78"/>
  </w:style>
  <w:style w:type="numbering" w:styleId="Biecalista22" w:customStyle="1">
    <w:name w:val="Bieżąca lista22"/>
    <w:uiPriority w:val="99"/>
    <w:qFormat/>
    <w:rsid w:val="00d60c6f"/>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d469ba"/>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Jasnalista">
    <w:name w:val="Light List"/>
    <w:basedOn w:val="Standardowy"/>
    <w:uiPriority w:val="61"/>
    <w:rsid w:val="00d469ba"/>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redniecieniowanie1">
    <w:name w:val="Medium Shading 1"/>
    <w:basedOn w:val="Standardowy"/>
    <w:uiPriority w:val="63"/>
    <w:rsid w:val="00d469ba"/>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asiatka3">
    <w:name w:val="Medium Grid 3"/>
    <w:basedOn w:val="Standardowy"/>
    <w:uiPriority w:val="69"/>
    <w:rsid w:val="00d469ba"/>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customStyle="1" w:styleId="Tabela-Siatka1">
    <w:name w:val="Tabela - Siatka1"/>
    <w:basedOn w:val="Standardowy"/>
    <w:uiPriority w:val="39"/>
    <w:rsid w:val="00a22ada"/>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image" Target="media/image2.png"/><Relationship Id="rId10" Type="http://schemas.openxmlformats.org/officeDocument/2006/relationships/image" Target="media/image2.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20" Type="http://schemas.openxmlformats.org/officeDocument/2006/relationships/chart" Target="charts/chart4.xml"/><Relationship Id="rId21" Type="http://schemas.openxmlformats.org/officeDocument/2006/relationships/chart" Target="charts/chart5.xm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header" Target="header4.xm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header" Target="header5.xml"/><Relationship Id="rId36" Type="http://schemas.openxmlformats.org/officeDocument/2006/relationships/header" Target="header6.xml"/><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header" Target="header7.xml"/><Relationship Id="rId40" Type="http://schemas.openxmlformats.org/officeDocument/2006/relationships/header" Target="header8.xml"/><Relationship Id="rId41" Type="http://schemas.openxmlformats.org/officeDocument/2006/relationships/footer" Target="footer7.xml"/><Relationship Id="rId42" Type="http://schemas.openxmlformats.org/officeDocument/2006/relationships/footer" Target="footer8.xml"/><Relationship Id="rId43" Type="http://schemas.openxmlformats.org/officeDocument/2006/relationships/header" Target="header9.xml"/><Relationship Id="rId44" Type="http://schemas.openxmlformats.org/officeDocument/2006/relationships/footer" Target="footer9.xml"/><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header" Target="header12.xml"/><Relationship Id="rId50" Type="http://schemas.openxmlformats.org/officeDocument/2006/relationships/header" Target="header13.xml"/><Relationship Id="rId51" Type="http://schemas.openxmlformats.org/officeDocument/2006/relationships/footer" Target="footer12.xml"/><Relationship Id="rId52" Type="http://schemas.openxmlformats.org/officeDocument/2006/relationships/footer" Target="footer13.xml"/><Relationship Id="rId53" Type="http://schemas.openxmlformats.org/officeDocument/2006/relationships/header" Target="header14.xml"/><Relationship Id="rId54" Type="http://schemas.openxmlformats.org/officeDocument/2006/relationships/header" Target="header15.xml"/><Relationship Id="rId55" Type="http://schemas.openxmlformats.org/officeDocument/2006/relationships/footer" Target="footer14.xml"/><Relationship Id="rId56" Type="http://schemas.openxmlformats.org/officeDocument/2006/relationships/footer" Target="footer15.xml"/><Relationship Id="rId57" Type="http://schemas.openxmlformats.org/officeDocument/2006/relationships/header" Target="header16.xml"/><Relationship Id="rId58" Type="http://schemas.openxmlformats.org/officeDocument/2006/relationships/header" Target="header17.xml"/><Relationship Id="rId59" Type="http://schemas.openxmlformats.org/officeDocument/2006/relationships/footer" Target="footer16.xml"/><Relationship Id="rId60" Type="http://schemas.openxmlformats.org/officeDocument/2006/relationships/footer" Target="footer17.xml"/><Relationship Id="rId61" Type="http://schemas.openxmlformats.org/officeDocument/2006/relationships/hyperlink" Target="https://wlof.wloclawek.eu/" TargetMode="External"/><Relationship Id="rId62" Type="http://schemas.openxmlformats.org/officeDocument/2006/relationships/hyperlink" Target="https://forms.gle/b3qvTKDWhQZd9EacA" TargetMode="External"/><Relationship Id="rId63" Type="http://schemas.openxmlformats.org/officeDocument/2006/relationships/hyperlink" Target="https://wlof.wloclawek.eu/" TargetMode="External"/><Relationship Id="rId64" Type="http://schemas.openxmlformats.org/officeDocument/2006/relationships/hyperlink" Target="mailto:biuro@wlof.wloclawek.eu" TargetMode="External"/><Relationship Id="rId65" Type="http://schemas.openxmlformats.org/officeDocument/2006/relationships/hyperlink" Target="https://wlof.wloclawek.eu/" TargetMode="External"/><Relationship Id="rId66" Type="http://schemas.openxmlformats.org/officeDocument/2006/relationships/hyperlink" Target="https://cop.wloclawek.pl/2023/07/konsultacje-projektu-strategii-terytorialnej-miejskiego-obszaru-funkcjonalnego-wloclawka/" TargetMode="External"/><Relationship Id="rId67" Type="http://schemas.openxmlformats.org/officeDocument/2006/relationships/hyperlink" Target="https://q4.pl/" TargetMode="External"/><Relationship Id="rId68" Type="http://schemas.openxmlformats.org/officeDocument/2006/relationships/hyperlink" Target="https://wloclawek.wkontakciejst.pl/" TargetMode="External"/><Relationship Id="rId69" Type="http://schemas.openxmlformats.org/officeDocument/2006/relationships/hyperlink" Target="https://www.radiopik.pl/" TargetMode="External"/><Relationship Id="rId70" Type="http://schemas.openxmlformats.org/officeDocument/2006/relationships/hyperlink" Target="https://wlc24.tv/" TargetMode="External"/><Relationship Id="rId71" Type="http://schemas.openxmlformats.org/officeDocument/2006/relationships/hyperlink" Target="https://forms.gle/b3qvTKDWhQZd9EacA" TargetMode="External"/><Relationship Id="rId72" Type="http://schemas.openxmlformats.org/officeDocument/2006/relationships/hyperlink" Target="mailto:biuro@wlof.wloclawek.eu" TargetMode="External"/><Relationship Id="rId73" Type="http://schemas.openxmlformats.org/officeDocument/2006/relationships/header" Target="header18.xml"/><Relationship Id="rId74" Type="http://schemas.openxmlformats.org/officeDocument/2006/relationships/header" Target="header19.xml"/><Relationship Id="rId75" Type="http://schemas.openxmlformats.org/officeDocument/2006/relationships/footer" Target="footer18.xml"/><Relationship Id="rId76" Type="http://schemas.openxmlformats.org/officeDocument/2006/relationships/footer" Target="footer19.xml"/><Relationship Id="rId77" Type="http://schemas.openxmlformats.org/officeDocument/2006/relationships/footnotes" Target="footnotes.xml"/><Relationship Id="rId78" Type="http://schemas.openxmlformats.org/officeDocument/2006/relationships/numbering" Target="numbering.xml"/><Relationship Id="rId79" Type="http://schemas.openxmlformats.org/officeDocument/2006/relationships/fontTable" Target="fontTable.xml"/><Relationship Id="rId80" Type="http://schemas.openxmlformats.org/officeDocument/2006/relationships/settings" Target="settings.xml"/><Relationship Id="rId81" Type="http://schemas.openxmlformats.org/officeDocument/2006/relationships/theme" Target="theme/theme1.xml"/><Relationship Id="rId82"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Kolumna1</c:v>
                </c:pt>
              </c:strCache>
            </c:strRef>
          </c:tx>
          <c:spPr>
            <a:solidFill>
              <a:srgbClr val="4f81bd"/>
            </a:solidFill>
            <a:ln w="0">
              <a:noFill/>
            </a:ln>
          </c:spPr>
          <c:explosion val="0"/>
          <c:dPt>
            <c:idx val="0"/>
            <c:spPr>
              <a:solidFill>
                <a:srgbClr val="c0504d"/>
              </a:solidFill>
              <a:ln w="19080">
                <a:solidFill>
                  <a:srgbClr val="ffffff"/>
                </a:solidFill>
                <a:round/>
              </a:ln>
            </c:spPr>
          </c:dPt>
          <c:dPt>
            <c:idx val="1"/>
            <c:spPr>
              <a:solidFill>
                <a:srgbClr val="8064a2"/>
              </a:solidFill>
              <a:ln w="19080">
                <a:solidFill>
                  <a:srgbClr val="ffffff"/>
                </a:solidFill>
                <a:round/>
              </a:ln>
            </c:spPr>
          </c:dPt>
          <c:dPt>
            <c:idx val="2"/>
            <c:spPr>
              <a:solidFill>
                <a:srgbClr val="f79646"/>
              </a:solidFill>
              <a:ln w="19080">
                <a:solidFill>
                  <a:srgbClr val="ffffff"/>
                </a:solidFill>
                <a:round/>
              </a:ln>
            </c:spPr>
          </c:dPt>
          <c:dPt>
            <c:idx val="3"/>
            <c:spPr>
              <a:solidFill>
                <a:srgbClr val="772c2a"/>
              </a:solidFill>
              <a:ln w="19080">
                <a:solidFill>
                  <a:srgbClr val="ffffff"/>
                </a:solidFill>
                <a:round/>
              </a:ln>
            </c:spPr>
          </c:dPt>
          <c:dPt>
            <c:idx val="4"/>
            <c:spPr>
              <a:solidFill>
                <a:srgbClr val="4d3b62"/>
              </a:solidFill>
              <a:ln w="19080">
                <a:solidFill>
                  <a:srgbClr val="ffffff"/>
                </a:solidFill>
                <a:round/>
              </a:ln>
            </c:spPr>
          </c:dPt>
          <c:dPt>
            <c:idx val="5"/>
            <c:spPr>
              <a:solidFill>
                <a:srgbClr val="b65708"/>
              </a:solidFill>
              <a:ln w="19080">
                <a:solidFill>
                  <a:srgbClr val="ffffff"/>
                </a:solidFill>
                <a:round/>
              </a:ln>
            </c:spPr>
          </c:dPt>
          <c:dPt>
            <c:idx val="6"/>
            <c:spPr>
              <a:solidFill>
                <a:srgbClr val="cd7371"/>
              </a:solidFill>
              <a:ln w="19080">
                <a:solidFill>
                  <a:srgbClr val="ffffff"/>
                </a:solidFill>
                <a:round/>
              </a:ln>
            </c:spPr>
          </c:dPt>
          <c:dPt>
            <c:idx val="7"/>
            <c:spPr>
              <a:solidFill>
                <a:srgbClr val="9983b5"/>
              </a:solidFill>
              <a:ln w="19080">
                <a:solidFill>
                  <a:srgbClr val="ffffff"/>
                </a:solidFill>
                <a:round/>
              </a:ln>
            </c:spPr>
          </c:dPt>
          <c:dLbls>
            <c:numFmt formatCode="0.00%" sourceLinked="0"/>
            <c:dLbl>
              <c:idx val="0"/>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dLbl>
              <c:idx val="1"/>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dLbl>
              <c:idx val="2"/>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dLbl>
              <c:idx val="3"/>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dLbl>
              <c:idx val="4"/>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dLbl>
              <c:idx val="5"/>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dLbl>
              <c:idx val="6"/>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dLbl>
              <c:idx val="7"/>
              <c:numFmt formatCode="0.00%" sourceLinked="0"/>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1200" spc="-1" strike="noStrike">
                    <a:solidFill>
                      <a:srgbClr val="000000"/>
                    </a:solidFill>
                    <a:latin typeface="Calibri"/>
                  </a:defRPr>
                </a:pPr>
              </a:p>
            </c:txPr>
            <c:dLblPos val="outEnd"/>
            <c:showLegendKey val="0"/>
            <c:showVal val="1"/>
            <c:showCatName val="0"/>
            <c:showSerName val="0"/>
            <c:showPercent val="0"/>
            <c:separator>; </c:separator>
            <c:showLeaderLines val="1"/>
          </c:dLbls>
          <c:cat>
            <c:strRef>
              <c:f>categories</c:f>
              <c:strCache>
                <c:ptCount val="8"/>
                <c:pt idx="0">
                  <c:v>Samochody osobowe</c:v>
                </c:pt>
                <c:pt idx="1">
                  <c:v>Samochody dostawcze</c:v>
                </c:pt>
                <c:pt idx="2">
                  <c:v>Samochody ciężarowe</c:v>
                </c:pt>
                <c:pt idx="3">
                  <c:v>Motocykle</c:v>
                </c:pt>
                <c:pt idx="4">
                  <c:v>Lotnictwo</c:v>
                </c:pt>
                <c:pt idx="5">
                  <c:v>Koleje</c:v>
                </c:pt>
                <c:pt idx="6">
                  <c:v>Transport wodny</c:v>
                </c:pt>
                <c:pt idx="7">
                  <c:v>Inne</c:v>
                </c:pt>
              </c:strCache>
            </c:strRef>
          </c:cat>
          <c:val>
            <c:numRef>
              <c:f>0</c:f>
              <c:numCache>
                <c:formatCode>General</c:formatCode>
                <c:ptCount val="8"/>
                <c:pt idx="0">
                  <c:v>0.607</c:v>
                </c:pt>
                <c:pt idx="1">
                  <c:v>0.119</c:v>
                </c:pt>
                <c:pt idx="2">
                  <c:v>0.262</c:v>
                </c:pt>
                <c:pt idx="3">
                  <c:v>0.012</c:v>
                </c:pt>
                <c:pt idx="4">
                  <c:v>0.134</c:v>
                </c:pt>
                <c:pt idx="5">
                  <c:v>0.005</c:v>
                </c:pt>
                <c:pt idx="6">
                  <c:v>0.136</c:v>
                </c:pt>
                <c:pt idx="7">
                  <c:v>0.005</c:v>
                </c:pt>
              </c:numCache>
            </c:numRef>
          </c:val>
        </c:ser>
        <c:firstSliceAng val="0"/>
      </c:pieChart>
      <c:spPr>
        <a:noFill/>
        <a:ln w="0">
          <a:noFill/>
        </a:ln>
      </c:spPr>
    </c:plotArea>
    <c:legend>
      <c:legendPos val="b"/>
      <c:overlay val="0"/>
      <c:spPr>
        <a:noFill/>
        <a:ln w="0">
          <a:noFill/>
        </a:ln>
      </c:spPr>
      <c:txPr>
        <a:bodyPr/>
        <a:lstStyle/>
        <a:p>
          <a:pPr>
            <a:defRPr b="0" sz="12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stacked"/>
        <c:varyColors val="0"/>
        <c:ser>
          <c:idx val="0"/>
          <c:order val="0"/>
          <c:tx>
            <c:strRef>
              <c:f>label 0</c:f>
              <c:strCache>
                <c:ptCount val="1"/>
                <c:pt idx="0">
                  <c:v>Nie korzystam i nie chcę korzystać</c:v>
                </c:pt>
              </c:strCache>
            </c:strRef>
          </c:tx>
          <c:spPr>
            <a:solidFill>
              <a:srgbClr val="4f81bd"/>
            </a:solidFill>
            <a:ln w="0">
              <a:noFill/>
            </a:ln>
          </c:spPr>
          <c:invertIfNegative val="0"/>
          <c:dLbls>
            <c:numFmt formatCode="0.0%" sourceLinked="0"/>
            <c:txPr>
              <a:bodyPr wrap="square"/>
              <a:lstStyle/>
              <a:p>
                <a:pPr>
                  <a:defRPr b="0" sz="900" spc="-1" strike="noStrike">
                    <a:solidFill>
                      <a:srgbClr val="ffffff"/>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0</c:f>
              <c:numCache>
                <c:formatCode>General</c:formatCode>
                <c:ptCount val="10"/>
                <c:pt idx="0">
                  <c:v>0.838</c:v>
                </c:pt>
                <c:pt idx="1">
                  <c:v>0.738</c:v>
                </c:pt>
                <c:pt idx="2">
                  <c:v>0.774</c:v>
                </c:pt>
                <c:pt idx="3">
                  <c:v>0.535</c:v>
                </c:pt>
                <c:pt idx="4">
                  <c:v>0.413</c:v>
                </c:pt>
                <c:pt idx="5">
                  <c:v>0.297</c:v>
                </c:pt>
                <c:pt idx="6">
                  <c:v>0.373</c:v>
                </c:pt>
                <c:pt idx="7">
                  <c:v>0.386</c:v>
                </c:pt>
                <c:pt idx="8">
                  <c:v>0.314</c:v>
                </c:pt>
                <c:pt idx="9">
                  <c:v>0.211</c:v>
                </c:pt>
              </c:numCache>
            </c:numRef>
          </c:val>
        </c:ser>
        <c:ser>
          <c:idx val="1"/>
          <c:order val="1"/>
          <c:tx>
            <c:strRef>
              <c:f>label 1</c:f>
              <c:strCache>
                <c:ptCount val="1"/>
                <c:pt idx="0">
                  <c:v>Nie korzystam, ale chciałbym skorzystać</c:v>
                </c:pt>
              </c:strCache>
            </c:strRef>
          </c:tx>
          <c:spPr>
            <a:solidFill>
              <a:srgbClr val="9bbb59"/>
            </a:solidFill>
            <a:ln w="0">
              <a:noFill/>
            </a:ln>
          </c:spPr>
          <c:invertIfNegative val="0"/>
          <c:dLbls>
            <c:numFmt formatCode="0.0%" sourceLinked="0"/>
            <c:txPr>
              <a:bodyPr wrap="square"/>
              <a:lstStyle/>
              <a:p>
                <a:pPr>
                  <a:defRPr b="0" sz="900" spc="-1" strike="noStrike">
                    <a:solidFill>
                      <a:srgbClr val="ffffff"/>
                    </a:solidFill>
                    <a:latin typeface="Calibri"/>
                  </a:defRPr>
                </a:pPr>
              </a:p>
            </c:txPr>
            <c:dLblPos val="ct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1</c:f>
              <c:numCache>
                <c:formatCode>General</c:formatCode>
                <c:ptCount val="10"/>
                <c:pt idx="0">
                  <c:v>0.149</c:v>
                </c:pt>
                <c:pt idx="1">
                  <c:v>0.198</c:v>
                </c:pt>
                <c:pt idx="2">
                  <c:v>0.139</c:v>
                </c:pt>
                <c:pt idx="3">
                  <c:v>0.111</c:v>
                </c:pt>
                <c:pt idx="4">
                  <c:v>0.073</c:v>
                </c:pt>
                <c:pt idx="5">
                  <c:v>0.158</c:v>
                </c:pt>
                <c:pt idx="6">
                  <c:v>0.079</c:v>
                </c:pt>
                <c:pt idx="7">
                  <c:v>0.086</c:v>
                </c:pt>
                <c:pt idx="8">
                  <c:v>0.064</c:v>
                </c:pt>
                <c:pt idx="9">
                  <c:v>0.124</c:v>
                </c:pt>
              </c:numCache>
            </c:numRef>
          </c:val>
        </c:ser>
        <c:gapWidth val="150"/>
        <c:overlap val="100"/>
        <c:axId val="24479926"/>
        <c:axId val="86601606"/>
      </c:barChart>
      <c:catAx>
        <c:axId val="24479926"/>
        <c:scaling>
          <c:orientation val="maxMin"/>
        </c:scaling>
        <c:delete val="0"/>
        <c:axPos val="b"/>
        <c:numFmt formatCode="General" sourceLinked="0"/>
        <c:majorTickMark val="none"/>
        <c:minorTickMark val="none"/>
        <c:tickLblPos val="nextTo"/>
        <c:spPr>
          <a:ln w="9360">
            <a:solidFill>
              <a:srgbClr val="d9d9d9"/>
            </a:solidFill>
            <a:round/>
          </a:ln>
        </c:spPr>
        <c:txPr>
          <a:bodyPr/>
          <a:lstStyle/>
          <a:p>
            <a:pPr>
              <a:defRPr b="0" sz="1200" spc="-1" strike="noStrike">
                <a:solidFill>
                  <a:srgbClr val="000000"/>
                </a:solidFill>
                <a:latin typeface="Cambria"/>
              </a:defRPr>
            </a:pPr>
          </a:p>
        </c:txPr>
        <c:crossAx val="86601606"/>
        <c:crosses val="autoZero"/>
        <c:auto val="1"/>
        <c:lblAlgn val="ctr"/>
        <c:lblOffset val="100"/>
        <c:noMultiLvlLbl val="0"/>
      </c:catAx>
      <c:valAx>
        <c:axId val="86601606"/>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24479926"/>
        <c:crossBetween val="between"/>
      </c:valAx>
      <c:spPr>
        <a:noFill/>
        <a:ln w="0">
          <a:noFill/>
        </a:ln>
      </c:spPr>
    </c:plotArea>
    <c:legend>
      <c:legendPos val="t"/>
      <c:overlay val="0"/>
      <c:spPr>
        <a:noFill/>
        <a:ln w="0">
          <a:noFill/>
        </a:ln>
      </c:spPr>
      <c:txPr>
        <a:bodyPr/>
        <a:lstStyle/>
        <a:p>
          <a:pPr>
            <a:defRPr b="0" sz="1000" spc="-1" strike="noStrike">
              <a:solidFill>
                <a:srgbClr val="000000"/>
              </a:solidFill>
              <a:latin typeface="Cambria"/>
            </a:defRPr>
          </a:pPr>
        </a:p>
      </c:tx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Włocławek (miejska)</c:v>
                </c:pt>
              </c:strCache>
            </c:strRef>
          </c:tx>
          <c:spPr>
            <a:solidFill>
              <a:srgbClr val="4f81bd"/>
            </a:solidFill>
            <a:ln w="0">
              <a:noFill/>
            </a:ln>
          </c:spPr>
          <c:invertIfNegative val="0"/>
          <c:dLbls>
            <c:numFmt formatCode="0.0%" sourceLinked="0"/>
            <c:txPr>
              <a:bodyPr wrap="square"/>
              <a:lstStyle/>
              <a:p>
                <a:pPr>
                  <a:defRPr b="0" sz="1200" spc="-1" strike="noStrike">
                    <a:solidFill>
                      <a:srgbClr val="000000"/>
                    </a:solidFill>
                    <a:latin typeface="Cambria"/>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Autobus komunikacji miejskiej/gminnej</c:v>
                </c:pt>
                <c:pt idx="1">
                  <c:v>Autobus (PKS, bus)</c:v>
                </c:pt>
                <c:pt idx="2">
                  <c:v>Samochód (jako kierowca)</c:v>
                </c:pt>
                <c:pt idx="3">
                  <c:v>Samochód (jako pasażer)</c:v>
                </c:pt>
              </c:strCache>
            </c:strRef>
          </c:cat>
          <c:val>
            <c:numRef>
              <c:f>0</c:f>
              <c:numCache>
                <c:formatCode>General</c:formatCode>
                <c:ptCount val="4"/>
                <c:pt idx="0">
                  <c:v>0.375</c:v>
                </c:pt>
                <c:pt idx="1">
                  <c:v>0.03</c:v>
                </c:pt>
                <c:pt idx="2">
                  <c:v>0.447</c:v>
                </c:pt>
                <c:pt idx="3">
                  <c:v>0.158</c:v>
                </c:pt>
              </c:numCache>
            </c:numRef>
          </c:val>
        </c:ser>
        <c:ser>
          <c:idx val="1"/>
          <c:order val="1"/>
          <c:tx>
            <c:strRef>
              <c:f>label 1</c:f>
              <c:strCache>
                <c:ptCount val="1"/>
                <c:pt idx="0">
                  <c:v>Pozostali</c:v>
                </c:pt>
              </c:strCache>
            </c:strRef>
          </c:tx>
          <c:spPr>
            <a:solidFill>
              <a:srgbClr val="9bbb59"/>
            </a:solidFill>
            <a:ln w="0">
              <a:noFill/>
            </a:ln>
          </c:spPr>
          <c:invertIfNegative val="0"/>
          <c:dLbls>
            <c:numFmt formatCode="0.0%" sourceLinked="0"/>
            <c:txPr>
              <a:bodyPr wrap="square"/>
              <a:lstStyle/>
              <a:p>
                <a:pPr>
                  <a:defRPr b="0" sz="1200" spc="-1" strike="noStrike">
                    <a:solidFill>
                      <a:srgbClr val="000000"/>
                    </a:solidFill>
                    <a:latin typeface="Cambria"/>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Autobus komunikacji miejskiej/gminnej</c:v>
                </c:pt>
                <c:pt idx="1">
                  <c:v>Autobus (PKS, bus)</c:v>
                </c:pt>
                <c:pt idx="2">
                  <c:v>Samochód (jako kierowca)</c:v>
                </c:pt>
                <c:pt idx="3">
                  <c:v>Samochód (jako pasażer)</c:v>
                </c:pt>
              </c:strCache>
            </c:strRef>
          </c:cat>
          <c:val>
            <c:numRef>
              <c:f>1</c:f>
              <c:numCache>
                <c:formatCode>General</c:formatCode>
                <c:ptCount val="4"/>
                <c:pt idx="0">
                  <c:v>0.174</c:v>
                </c:pt>
                <c:pt idx="1">
                  <c:v>0.169</c:v>
                </c:pt>
                <c:pt idx="2">
                  <c:v>0.398</c:v>
                </c:pt>
                <c:pt idx="3">
                  <c:v>0.1343</c:v>
                </c:pt>
              </c:numCache>
            </c:numRef>
          </c:val>
        </c:ser>
        <c:gapWidth val="219"/>
        <c:overlap val="-27"/>
        <c:axId val="41778001"/>
        <c:axId val="16579176"/>
      </c:barChart>
      <c:catAx>
        <c:axId val="4177800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200" spc="-1" strike="noStrike">
                <a:solidFill>
                  <a:srgbClr val="000000"/>
                </a:solidFill>
                <a:latin typeface="Cambria"/>
              </a:defRPr>
            </a:pPr>
          </a:p>
        </c:txPr>
        <c:crossAx val="16579176"/>
        <c:crosses val="autoZero"/>
        <c:auto val="1"/>
        <c:lblAlgn val="ctr"/>
        <c:lblOffset val="100"/>
        <c:noMultiLvlLbl val="0"/>
      </c:catAx>
      <c:valAx>
        <c:axId val="16579176"/>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200" spc="-1" strike="noStrike">
                <a:solidFill>
                  <a:srgbClr val="000000"/>
                </a:solidFill>
                <a:latin typeface="Cambria"/>
              </a:defRPr>
            </a:pPr>
          </a:p>
        </c:txPr>
        <c:crossAx val="41778001"/>
        <c:crossBetween val="between"/>
      </c:valAx>
      <c:spPr>
        <a:noFill/>
        <a:ln w="0">
          <a:noFill/>
        </a:ln>
      </c:spPr>
    </c:plotArea>
    <c:legend>
      <c:legendPos val="t"/>
      <c:overlay val="0"/>
      <c:spPr>
        <a:noFill/>
        <a:ln w="0">
          <a:noFill/>
        </a:ln>
      </c:spPr>
      <c:txPr>
        <a:bodyPr/>
        <a:lstStyle/>
        <a:p>
          <a:pPr>
            <a:defRPr b="0" sz="1200" spc="-1" strike="noStrike">
              <a:solidFill>
                <a:srgbClr val="000000"/>
              </a:solidFill>
              <a:latin typeface="Cambria"/>
            </a:defRPr>
          </a:pPr>
        </a:p>
      </c:txPr>
    </c:legend>
    <c:plotVisOnly val="1"/>
    <c:dispBlanksAs val="gap"/>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4735625"/>
          <c:y val="0.044"/>
          <c:w val="0.5264375"/>
          <c:h val="0.911888888888889"/>
        </c:manualLayout>
      </c:layout>
      <c:barChart>
        <c:barDir val="bar"/>
        <c:grouping val="clustered"/>
        <c:varyColors val="0"/>
        <c:ser>
          <c:idx val="0"/>
          <c:order val="0"/>
          <c:tx>
            <c:strRef>
              <c:f>label 0</c:f>
              <c:strCache>
                <c:ptCount val="1"/>
                <c:pt idx="0">
                  <c:v>Seria1</c:v>
                </c:pt>
              </c:strCache>
            </c:strRef>
          </c:tx>
          <c:spPr>
            <a:solidFill>
              <a:srgbClr val="4f81bd"/>
            </a:solidFill>
            <a:ln w="0">
              <a:noFill/>
            </a:ln>
          </c:spPr>
          <c:invertIfNegative val="0"/>
          <c:dLbls>
            <c:numFmt formatCode="0.0%" sourceLinked="0"/>
            <c:txPr>
              <a:bodyPr wrap="square"/>
              <a:lstStyle/>
              <a:p>
                <a:pPr>
                  <a:defRPr b="0" sz="1200" spc="-1" strike="noStrike">
                    <a:solidFill>
                      <a:srgbClr val="000000"/>
                    </a:solidFill>
                    <a:latin typeface="Cambria"/>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Bezpieczeństwo danego środka transportu</c:v>
                </c:pt>
                <c:pt idx="1">
                  <c:v>Dbałość o środowisko</c:v>
                </c:pt>
                <c:pt idx="2">
                  <c:v>Konieczność dotarcia do kilku celów podróży</c:v>
                </c:pt>
                <c:pt idx="3">
                  <c:v>Koszt podróży</c:v>
                </c:pt>
                <c:pt idx="4">
                  <c:v>Szybkość dojazdu</c:v>
                </c:pt>
                <c:pt idx="5">
                  <c:v>Największa wygoda i komfort</c:v>
                </c:pt>
                <c:pt idx="6">
                  <c:v>Dostępność środka transportu</c:v>
                </c:pt>
              </c:strCache>
            </c:strRef>
          </c:cat>
          <c:val>
            <c:numRef>
              <c:f>0</c:f>
              <c:numCache>
                <c:formatCode>General</c:formatCode>
                <c:ptCount val="7"/>
                <c:pt idx="0">
                  <c:v>0.045</c:v>
                </c:pt>
                <c:pt idx="1">
                  <c:v>0.053</c:v>
                </c:pt>
                <c:pt idx="2">
                  <c:v>0.198</c:v>
                </c:pt>
                <c:pt idx="3">
                  <c:v>0.218</c:v>
                </c:pt>
                <c:pt idx="4">
                  <c:v>0.305</c:v>
                </c:pt>
                <c:pt idx="5">
                  <c:v>0.312</c:v>
                </c:pt>
                <c:pt idx="6">
                  <c:v>0.553</c:v>
                </c:pt>
              </c:numCache>
            </c:numRef>
          </c:val>
        </c:ser>
        <c:gapWidth val="182"/>
        <c:overlap val="0"/>
        <c:axId val="955548"/>
        <c:axId val="41611951"/>
      </c:barChart>
      <c:catAx>
        <c:axId val="95554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200" spc="-1" strike="noStrike">
                <a:solidFill>
                  <a:srgbClr val="000000"/>
                </a:solidFill>
                <a:latin typeface="Cambria"/>
              </a:defRPr>
            </a:pPr>
          </a:p>
        </c:txPr>
        <c:crossAx val="41611951"/>
        <c:crosses val="autoZero"/>
        <c:auto val="1"/>
        <c:lblAlgn val="ctr"/>
        <c:lblOffset val="100"/>
        <c:noMultiLvlLbl val="0"/>
      </c:catAx>
      <c:valAx>
        <c:axId val="41611951"/>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200" spc="-1" strike="noStrike">
                <a:solidFill>
                  <a:srgbClr val="000000"/>
                </a:solidFill>
                <a:latin typeface="Cambria"/>
              </a:defRPr>
            </a:pPr>
          </a:p>
        </c:txPr>
        <c:crossAx val="955548"/>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bar"/>
        <c:grouping val="clustered"/>
        <c:varyColors val="0"/>
        <c:ser>
          <c:idx val="0"/>
          <c:order val="0"/>
          <c:tx>
            <c:strRef>
              <c:f>label 0</c:f>
              <c:strCache>
                <c:ptCount val="1"/>
                <c:pt idx="0">
                  <c:v>OGÓŁEM</c:v>
                </c:pt>
              </c:strCache>
            </c:strRef>
          </c:tx>
          <c:spPr>
            <a:solidFill>
              <a:srgbClr val="4f81bd"/>
            </a:solidFill>
            <a:ln w="0">
              <a:noFill/>
            </a:ln>
          </c:spPr>
          <c:invertIfNegative val="0"/>
          <c:dPt>
            <c:idx val="4"/>
            <c:invertIfNegative val="0"/>
            <c:spPr>
              <a:solidFill>
                <a:srgbClr val="4f81bd"/>
              </a:solidFill>
              <a:ln w="0">
                <a:noFill/>
              </a:ln>
            </c:spPr>
          </c:dPt>
          <c:dLbls>
            <c:numFmt formatCode="0.0%" sourceLinked="0"/>
            <c:dLbl>
              <c:idx val="4"/>
              <c:numFmt formatCode="0.0%" sourceLinked="0"/>
              <c:txPr>
                <a:bodyPr wrap="square"/>
                <a:lstStyle/>
                <a:p>
                  <a:pPr>
                    <a:defRPr b="0" sz="1000" spc="-1" strike="noStrike">
                      <a:solidFill>
                        <a:srgbClr val="000000"/>
                      </a:solidFill>
                      <a:latin typeface="Cambria"/>
                    </a:defRPr>
                  </a:pPr>
                </a:p>
              </c:txPr>
              <c:dLblPos val="outEnd"/>
              <c:showLegendKey val="0"/>
              <c:showVal val="1"/>
              <c:showCatName val="0"/>
              <c:showSerName val="0"/>
              <c:showPercent val="0"/>
              <c:separator>; </c:separator>
            </c:dLbl>
            <c:txPr>
              <a:bodyPr wrap="square"/>
              <a:lstStyle/>
              <a:p>
                <a:pPr>
                  <a:defRPr b="0" sz="1000" spc="-1" strike="noStrike">
                    <a:solidFill>
                      <a:srgbClr val="000000"/>
                    </a:solidFill>
                    <a:latin typeface="Cambria"/>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0</c:f>
              <c:numCache>
                <c:formatCode>General</c:formatCode>
                <c:ptCount val="6"/>
                <c:pt idx="0">
                  <c:v>0.447</c:v>
                </c:pt>
                <c:pt idx="1">
                  <c:v>0.348</c:v>
                </c:pt>
                <c:pt idx="2">
                  <c:v>0.273</c:v>
                </c:pt>
                <c:pt idx="3">
                  <c:v>0.227</c:v>
                </c:pt>
                <c:pt idx="4">
                  <c:v>0.163</c:v>
                </c:pt>
                <c:pt idx="5">
                  <c:v>0.057</c:v>
                </c:pt>
              </c:numCache>
            </c:numRef>
          </c:val>
        </c:ser>
        <c:ser>
          <c:idx val="1"/>
          <c:order val="1"/>
          <c:tx>
            <c:strRef>
              <c:f>label 1</c:f>
              <c:strCache>
                <c:ptCount val="1"/>
                <c:pt idx="0">
                  <c:v>Włocławek (gm. miejska)</c:v>
                </c:pt>
              </c:strCache>
            </c:strRef>
          </c:tx>
          <c:spPr>
            <a:solidFill>
              <a:srgbClr val="c0504d"/>
            </a:solidFill>
            <a:ln w="0">
              <a:noFill/>
            </a:ln>
          </c:spPr>
          <c:invertIfNegative val="0"/>
          <c:dPt>
            <c:idx val="4"/>
            <c:invertIfNegative val="0"/>
            <c:spPr>
              <a:solidFill>
                <a:srgbClr val="c0504d"/>
              </a:solidFill>
              <a:ln w="0">
                <a:noFill/>
              </a:ln>
            </c:spPr>
          </c:dPt>
          <c:dLbls>
            <c:numFmt formatCode="0.0%" sourceLinked="0"/>
            <c:dLbl>
              <c:idx val="4"/>
              <c:numFmt formatCode="0.0%" sourceLinked="0"/>
              <c:txPr>
                <a:bodyPr wrap="square"/>
                <a:lstStyle/>
                <a:p>
                  <a:pPr>
                    <a:defRPr b="0" sz="1000" spc="-1" strike="noStrike">
                      <a:solidFill>
                        <a:srgbClr val="000000"/>
                      </a:solidFill>
                      <a:latin typeface="Cambria"/>
                    </a:defRPr>
                  </a:pPr>
                </a:p>
              </c:txPr>
              <c:dLblPos val="outEnd"/>
              <c:showLegendKey val="0"/>
              <c:showVal val="1"/>
              <c:showCatName val="0"/>
              <c:showSerName val="0"/>
              <c:showPercent val="0"/>
              <c:separator>; </c:separator>
            </c:dLbl>
            <c:txPr>
              <a:bodyPr wrap="square"/>
              <a:lstStyle/>
              <a:p>
                <a:pPr>
                  <a:defRPr b="0" sz="1000" spc="-1" strike="noStrike">
                    <a:solidFill>
                      <a:srgbClr val="000000"/>
                    </a:solidFill>
                    <a:latin typeface="Cambria"/>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1</c:f>
              <c:numCache>
                <c:formatCode>General</c:formatCode>
                <c:ptCount val="6"/>
                <c:pt idx="0">
                  <c:v>0.465</c:v>
                </c:pt>
                <c:pt idx="1">
                  <c:v>0.282</c:v>
                </c:pt>
                <c:pt idx="2">
                  <c:v>0.272</c:v>
                </c:pt>
                <c:pt idx="3">
                  <c:v>0.208</c:v>
                </c:pt>
                <c:pt idx="4">
                  <c:v>0.144</c:v>
                </c:pt>
                <c:pt idx="5">
                  <c:v>0.079</c:v>
                </c:pt>
              </c:numCache>
            </c:numRef>
          </c:val>
        </c:ser>
        <c:ser>
          <c:idx val="2"/>
          <c:order val="2"/>
          <c:tx>
            <c:strRef>
              <c:f>label 2</c:f>
              <c:strCache>
                <c:ptCount val="1"/>
                <c:pt idx="0">
                  <c:v>Pozostali</c:v>
                </c:pt>
              </c:strCache>
            </c:strRef>
          </c:tx>
          <c:spPr>
            <a:solidFill>
              <a:srgbClr val="9bbb59"/>
            </a:solidFill>
            <a:ln w="0">
              <a:noFill/>
            </a:ln>
          </c:spPr>
          <c:invertIfNegative val="0"/>
          <c:dPt>
            <c:idx val="4"/>
            <c:invertIfNegative val="0"/>
            <c:spPr>
              <a:solidFill>
                <a:srgbClr val="9bbb59"/>
              </a:solidFill>
              <a:ln w="0">
                <a:noFill/>
              </a:ln>
            </c:spPr>
          </c:dPt>
          <c:dLbls>
            <c:numFmt formatCode="0.0%" sourceLinked="0"/>
            <c:dLbl>
              <c:idx val="4"/>
              <c:numFmt formatCode="0.0%" sourceLinked="0"/>
              <c:txPr>
                <a:bodyPr wrap="square"/>
                <a:lstStyle/>
                <a:p>
                  <a:pPr>
                    <a:defRPr b="0" sz="1000" spc="-1" strike="noStrike">
                      <a:solidFill>
                        <a:srgbClr val="000000"/>
                      </a:solidFill>
                      <a:latin typeface="Cambria"/>
                    </a:defRPr>
                  </a:pPr>
                </a:p>
              </c:txPr>
              <c:dLblPos val="outEnd"/>
              <c:showLegendKey val="0"/>
              <c:showVal val="1"/>
              <c:showCatName val="0"/>
              <c:showSerName val="0"/>
              <c:showPercent val="0"/>
              <c:separator>; </c:separator>
            </c:dLbl>
            <c:txPr>
              <a:bodyPr wrap="square"/>
              <a:lstStyle/>
              <a:p>
                <a:pPr>
                  <a:defRPr b="0" sz="1000" spc="-1" strike="noStrike">
                    <a:solidFill>
                      <a:srgbClr val="000000"/>
                    </a:solidFill>
                    <a:latin typeface="Cambria"/>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2</c:f>
              <c:numCache>
                <c:formatCode>General</c:formatCode>
                <c:ptCount val="6"/>
                <c:pt idx="0">
                  <c:v>0.4</c:v>
                </c:pt>
                <c:pt idx="1">
                  <c:v>0.513</c:v>
                </c:pt>
                <c:pt idx="2">
                  <c:v>0.275</c:v>
                </c:pt>
                <c:pt idx="3">
                  <c:v>0.275</c:v>
                </c:pt>
                <c:pt idx="4">
                  <c:v>0.213</c:v>
                </c:pt>
                <c:pt idx="5">
                  <c:v>0</c:v>
                </c:pt>
              </c:numCache>
            </c:numRef>
          </c:val>
        </c:ser>
        <c:gapWidth val="182"/>
        <c:overlap val="0"/>
        <c:axId val="22076054"/>
        <c:axId val="6954725"/>
      </c:barChart>
      <c:catAx>
        <c:axId val="22076054"/>
        <c:scaling>
          <c:orientation val="maxMin"/>
        </c:scaling>
        <c:delete val="0"/>
        <c:axPos val="b"/>
        <c:numFmt formatCode="General" sourceLinked="0"/>
        <c:majorTickMark val="none"/>
        <c:minorTickMark val="none"/>
        <c:tickLblPos val="nextTo"/>
        <c:spPr>
          <a:ln w="9360">
            <a:solidFill>
              <a:srgbClr val="d9d9d9"/>
            </a:solidFill>
            <a:round/>
          </a:ln>
        </c:spPr>
        <c:txPr>
          <a:bodyPr/>
          <a:lstStyle/>
          <a:p>
            <a:pPr>
              <a:defRPr b="0" sz="1000" spc="-1" strike="noStrike">
                <a:solidFill>
                  <a:srgbClr val="000000"/>
                </a:solidFill>
                <a:latin typeface="Cambria"/>
              </a:defRPr>
            </a:pPr>
          </a:p>
        </c:txPr>
        <c:crossAx val="6954725"/>
        <c:crosses val="autoZero"/>
        <c:auto val="1"/>
        <c:lblAlgn val="ctr"/>
        <c:lblOffset val="100"/>
        <c:noMultiLvlLbl val="0"/>
      </c:catAx>
      <c:valAx>
        <c:axId val="6954725"/>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mbria"/>
              </a:defRPr>
            </a:pPr>
          </a:p>
        </c:txPr>
        <c:crossAx val="22076054"/>
        <c:crossBetween val="between"/>
      </c:valAx>
      <c:spPr>
        <a:noFill/>
        <a:ln w="0">
          <a:noFill/>
        </a:ln>
      </c:spPr>
    </c:plotArea>
    <c:legend>
      <c:legendPos val="t"/>
      <c:overlay val="0"/>
      <c:spPr>
        <a:noFill/>
        <a:ln w="0">
          <a:noFill/>
        </a:ln>
      </c:spPr>
      <c:txPr>
        <a:bodyPr/>
        <a:lstStyle/>
        <a:p>
          <a:pPr>
            <a:defRPr b="0" sz="1000" spc="-1" strike="noStrike">
              <a:solidFill>
                <a:srgbClr val="000000"/>
              </a:solidFill>
              <a:latin typeface="Cambria"/>
            </a:defRPr>
          </a:pPr>
        </a:p>
      </c:txPr>
    </c:legend>
    <c:plotVisOnly val="1"/>
    <c:dispBlanksAs val="gap"/>
  </c:chart>
  <c:spPr>
    <a:solidFill>
      <a:srgbClr val="ffffff"/>
    </a:solidFill>
    <a:ln w="9360">
      <a:noFill/>
    </a:ln>
  </c:spPr>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99CCD-2DAE-4DE7-BA83-942E1823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LibreOffice/7.5.3.2$Windows_X86_64 LibreOffice_project/9f56dff12ba03b9acd7730a5a481eea045e468f3</Application>
  <AppVersion>15.0000</AppVersion>
  <Pages>200</Pages>
  <Words>59588</Words>
  <Characters>409217</Characters>
  <CharactersWithSpaces>464354</CharactersWithSpaces>
  <Paragraphs>7021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2023-11-06T11:02:00Z</dcterms:created>
  <dc:creator>Magda Gutral</dc:creator>
  <dc:description/>
  <dc:language>pl-PL</dc:language>
  <cp:lastModifiedBy/>
  <cp:lastPrinted>2023-10-24T09:53:00Z</cp:lastPrinted>
  <dcterms:modified xsi:type="dcterms:W3CDTF">2023-11-06T13:01:24Z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